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Mojito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Kann allergische Hautreaktionen verursachen. 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l-p-mentha-1(6),8-dien-2-one; carvone; citral; linalool; d-limonene; 3,7-dimethylnona-1,6-dien-3-ol; terpinolene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citral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5392-40-5</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226-394-6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1,608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terpinolene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586-62-9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209-578-0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Asp. Tox. 1, H304</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3,7-dimethylnona-1,6-dien-3-ol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10339-55-6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233-732-6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0,273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carvone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99-49-0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202-759-5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l-p-mentha-1(6),8-dien-2-one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6485-40-1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229-352-5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606-148-00-8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Hesperidaceae. Fruchtig. Ländlich.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l-p-mentha-1(6),8-dien-2-one (6485-40-1)</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other:</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6,45 mg/l air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terpinolene (586-62-9)</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Animal sex: female, Guideline: OECD Guideline 402 (Acute Dermal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l-p-mentha-1(6),8-dien-2-one (6485-40-1)</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5,62 Temp.: 26 °C</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l-p-mentha-1(6),8-dien-2-one (6485-40-1)</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5,62 Temp.: 26 °C</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terpinolene (586-62-9)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294,6 mg/kg Körpergewicht Animal: rat, Animal sex: male, Guideline: OECD Guideline 422 (Combined Repeated Dose Toxicity Study with the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161,5 mg/kg Körpergewicht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Mojito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l-p-mentha-1(6),8-dien-2-one (6485-40-1)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6,1 mg/l Test organisms (species): Oncorhynchus mykiss (previous name: Salmo gairdneri)</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19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terpinolene (586-62-9)</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0,805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0,634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11,69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Mojito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l-p-mentha-1(6),8-dien-2-one (6485-40-1)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carvone (99-49-0)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citral (5392-40-5)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3,7-dimethylnona-1,6-dien-3-ol (10339-55-6)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terpinolene (586-62-9)</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linalool ; 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d-limonene ; terpinolene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 gewässergefährdend, Kategorie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Mojito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Mojito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B6BDC6EC-104F-4EC3-A6AD-DD6A535CE23D}"/>
</file>

<file path=customXml/itemProps3.xml><?xml version="1.0" encoding="utf-8"?>
<ds:datastoreItem xmlns:ds="http://schemas.openxmlformats.org/officeDocument/2006/customXml" ds:itemID="{28C1C000-2514-480A-8F65-D05A629440ED}"/>
</file>

<file path=customXml/itemProps4.xml><?xml version="1.0" encoding="utf-8"?>
<ds:datastoreItem xmlns:ds="http://schemas.openxmlformats.org/officeDocument/2006/customXml" ds:itemID="{9580CCEA-1A27-4A02-AACA-C970C4E77BC4}"/>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