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Mandarine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LIMONENE, linalool, CITRAL.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Aldehyd.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Körpergewicht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Mandarine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p w:rsidR="00A65092" w:rsidRPr="0069446B" w:rsidP="00A65092" w14:paraId="1965DBDA" w14:textId="0FFE3A91">
      <w:pPr>
        <w:pStyle w:val="SDSTextNormal"/>
      </w:pPr>
      <w:r>
        <w:rPr>
          <w:noProof/>
        </w:rPr>
        <w:t>Enthält keine Stoffe, die im REACH-Anhang XVII (Beschränkungsbedingungen) gelistet sind</w:t>
      </w:r>
    </w:p>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LIMONENE, linalool, CITRAL.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Mandarine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Mandarine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15.09.2026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658AEF8-58E0-4AE5-B5B8-CFE3B0EC99CB}"/>
</file>

<file path=customXml/itemProps3.xml><?xml version="1.0" encoding="utf-8"?>
<ds:datastoreItem xmlns:ds="http://schemas.openxmlformats.org/officeDocument/2006/customXml" ds:itemID="{5AD63762-BAA9-4D97-9D51-AAE61A1E576E}"/>
</file>

<file path=customXml/itemProps4.xml><?xml version="1.0" encoding="utf-8"?>
<ds:datastoreItem xmlns:ds="http://schemas.openxmlformats.org/officeDocument/2006/customXml" ds:itemID="{7F1A3ED4-D757-4243-AC23-EF8613850ED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