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Lotus et coton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TETRAHYDROLINALOOL, CINNAMAL, linalool, Isoeugenol, ISOBORNEOL.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Pulverisiert.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Lotus et coton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Lotus et coton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3,7-dimethyloctan-3-ol ; cinnamaldehyde ; linalool ; isoeugenol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TETRAHYDROLINALOOL, CINNAMAL, linalool, Isoeugenol, ISOBORNEOL.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Lotus et coton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Lotus et coton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23.06.2026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34ADA22-33DE-482C-9708-C15AE568C347}"/>
</file>

<file path=customXml/itemProps3.xml><?xml version="1.0" encoding="utf-8"?>
<ds:datastoreItem xmlns:ds="http://schemas.openxmlformats.org/officeDocument/2006/customXml" ds:itemID="{547D28E6-9721-41E1-A69F-53CD9C3CFCEC}"/>
</file>

<file path=customXml/itemProps4.xml><?xml version="1.0" encoding="utf-8"?>
<ds:datastoreItem xmlns:ds="http://schemas.openxmlformats.org/officeDocument/2006/customXml" ds:itemID="{D64BDBCD-379A-4289-86EA-6D9A29F1966E}"/>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