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Lotus et coton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TETRAHYDROLINALOOL, CINNAMAL, ISOBORNEOL, linalool, COUMARIN, ISOEUGENOL.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32210-23-4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0,5096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0,3185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0,1911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0,00357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(Dermal), H312 (ATE=1260 mg/kg Körpergewicht)</w:t>
              <w:br/>
              <w:t>Skin Irrit. 2, H315</w:t>
              <w:br/>
              <w:t>Eye Irrit. 2, H319</w:t>
              <w:br/>
              <w:t>Skin Sens. 1A, H317</w:t>
              <w:br/>
              <w:t>Aquatic Chronic 3, H412</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0,00189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Blumig. Pulverisiert. Moschus. Holzig.</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anisaldehyde (123-11-5)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3210 mg/kg Körpergewicht Animal: rat, Guideline: OECD Guideline 401 (Acute Oral Toxicity), 95% CL: 2755 - 3600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Animal sex: female,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Körpergewicht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Körpergewicht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Körpergewicht Animal: rat, Guideline: OECD Guideline 402 (Acute Dermal Toxicity)</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Körpergewicht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LC50 inhalativ - Ratte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300 – 2000 mg/kg Körpergewicht Animal: rat, Animal sex: female, Guideline: OECD Guideline 420 (Acute Oral Toxicity - Fixed Dose Method), Guideline: EU Method B.1 bis (Acute Oral Toxicity - Fixed Dose Procedure)</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4680 mg/kg Source: NITE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Körpergewicht Animal: mouse, Guideline: OECD Guideline 401 (Acute Oral Toxicity), 95% CL: 2620 - 3620</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Körpergewicht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Körpergewicht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anisaldehyde (123-11-5)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anisaldehyde (123-11-5)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Körpergewicht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anisaldehyde (123-11-5)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Körpergewicht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Pr>
                <w:noProof/>
              </w:rPr>
              <w:t>NOAEL (subchronisch, oral, Tier, weiblich,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Körpergewicht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Lotus et coton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anisaldehyde (123-11-5)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148,32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82,8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0,549 mg/l Source: ECOSAR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Lotus et coton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anisaldehyde (123-11-5)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D2347BE" w14:textId="184090CF">
            <w:pPr>
              <w:pStyle w:val="SDSTableTextHeading1"/>
              <w:rPr>
                <w:noProof w:val="0"/>
                <w:color w:val="auto"/>
              </w:rPr>
            </w:pPr>
            <w:r w:rsidRPr="0069446B" w:rsidR="00FA7F7F">
              <w:rPr>
                <w:noProof/>
                <w:color w:val="auto"/>
              </w:rPr>
              <w:t>4-tert-butylcyclohexyl acetate (32210-23-4)</w:t>
            </w:r>
          </w:p>
        </w:tc>
      </w:tr>
      <w:tr w14:paraId="11C9E37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522CF1B" w14:textId="5E0B1E34">
            <w:pPr>
              <w:pStyle w:val="SDSTableTextNormal"/>
              <w:rPr>
                <w:noProof w:val="0"/>
              </w:rPr>
            </w:pPr>
            <w:r w:rsidRPr="0069446B">
              <w:rPr>
                <w:noProof/>
              </w:rPr>
              <w:t>Verteilungskoeffizient n-Oktanol/Wasser (Log Pow)</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702F0D" w14:textId="1EE1A24C">
            <w:pPr>
              <w:pStyle w:val="SDSTableTextNormal"/>
              <w:rPr>
                <w:noProof w:val="0"/>
              </w:rPr>
            </w:pPr>
            <w:r w:rsidRPr="0069446B" w:rsidR="00FA7F7F">
              <w:rPr>
                <w:noProof/>
              </w:rPr>
              <w:t>4,8 Source: Pubchem</w:t>
            </w:r>
          </w:p>
        </w:tc>
      </w:tr>
    </w:tbl>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anisaldehyde ; 3,7-dimethyloctan-3-ol ; cinnamaldehyde ; linalool ; isoeugenol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4C4B885B"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22083A8D" w14:textId="6DB5BA45">
            <w:pPr>
              <w:pStyle w:val="SDSTableTextNormal"/>
              <w:rPr>
                <w:noProof w:val="0"/>
              </w:rPr>
            </w:pPr>
            <w:r w:rsidRPr="0069446B">
              <w:rPr>
                <w:noProof/>
              </w:rPr>
              <w:t>Verzeichnis sensibilisierender Stoffe (TRGS 907)</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30BB04E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11B79E96" w14:textId="5BC3E867">
            <w:pPr>
              <w:pStyle w:val="SDSTableTextNormal"/>
              <w:rPr>
                <w:noProof w:val="0"/>
              </w:rPr>
            </w:pPr>
            <w:r w:rsidRPr="0069446B">
              <w:rPr>
                <w:noProof/>
              </w:rPr>
              <w:t>Enthält sensibilisierende Stoffe gemäß TRGS 907.</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TETRAHYDROLINALOOL, CINNAMAL, ISOBORNEOL, linalool, COUMARIN, ISOEUGENOL.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02.09.2026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02.09.2026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Lotus et coton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Lotus et coton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02.09.2026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02FDD1E-6483-4D3C-BC22-950D18F56C0B}"/>
</file>

<file path=customXml/itemProps3.xml><?xml version="1.0" encoding="utf-8"?>
<ds:datastoreItem xmlns:ds="http://schemas.openxmlformats.org/officeDocument/2006/customXml" ds:itemID="{110B20C3-3CCD-47FE-9687-41886B4491EB}"/>
</file>

<file path=customXml/itemProps4.xml><?xml version="1.0" encoding="utf-8"?>
<ds:datastoreItem xmlns:ds="http://schemas.openxmlformats.org/officeDocument/2006/customXml" ds:itemID="{A2D4F038-EE8B-4CE8-A474-04D7F13619CD}"/>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