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Lotus blanc et coton kerze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p w:rsidR="00827634" w:rsidRPr="0069446B" w:rsidP="009E5102" w14:paraId="2D05B3D4" w14:textId="5E45E9EA">
      <w:pPr>
        <w:pStyle w:val="SDSTextNormal"/>
      </w:pPr>
      <w:r w:rsidRPr="0069446B">
        <w:rPr>
          <w:noProof/>
        </w:rPr>
        <w:t>Für die Allgemeinheit bestimmt</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Hauptverwendungskategorie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Verwendung durch Verbraucher</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Kann allergische Hautreaktionen verursachen.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2-benzylideneheptanal; 3,7-dimethyloctan-3-ol; cinnamaldehyde; linalool; 1-(1,2,3,4,5,6,7,8-octahydro-2,3,8,8-tetramethyl-2-naphthyl)ethan-1-one; isoeugenol; 4-tert-butylcyclohexyl acetate; benzyl salicylate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Kann allergische Hautreaktionen verursachen.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P302+P352 - BEI BERÜHRUNG MIT DER HAUT: Mit viel Wasser und Seife waschen.</w:t>
              <w:br/>
              <w:t>P333+P313 - Bei Hautreizung oder -ausschlag: Ärztlichen Rat einholen/ärztliche Hilfe hinzuziehen.</w:t>
              <w:br/>
              <w:t>P501 - Inhalt und 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4-tert-butylcyclohexyl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32210-23-4</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1,273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1,091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3,7-dimethyloctan-3-ol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78-69-3</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201-133-9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0,455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br/>
              <w:t>Aquatic Chronic 3, H412</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2-benzylideneheptanal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122-40-7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204-541-5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0,0051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Körpergewicht)</w:t>
              <w:br/>
              <w:t>Skin Irrit. 2, H315</w:t>
              <w:br/>
              <w:t>Eye Irrit. 2, H319</w:t>
              <w:br/>
              <w:t>Skin Sens. 1A, H317</w:t>
              <w:br/>
              <w:t>Aquatic Chronic 3, H412</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Acute Tox. 4 (Dermal), H312 (ATE=1100 mg/kg Körpergewicht)</w:t>
              <w:br/>
              <w:t>Acute Tox. 4 (Inhalativ),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Spezifische Konzentrationsgrenzwerte</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Produktidentifikator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Spezifische Konzentrationsgrenzwerte</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r w14:paraId="466CEF49"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97-54-1</w:t>
            </w:r>
          </w:p>
          <w:p w:rsidR="00827634" w:rsidRPr="0069446B" w:rsidP="009B0F88"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202-590-7</w:t>
            </w:r>
          </w:p>
          <w:p w:rsidR="00827634" w:rsidRPr="0069446B" w:rsidP="009B0F88"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Blumig. Pulverisiert. Moschus.</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anisaldehyde (123-11-5)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3210 mg/kg Körpergewicht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3,7-dimethyloctan-3-ol (78-69-3)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8270 mg/kg Körpergewicht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Körpergewicht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Körpergewicht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Körpergewicht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inhalativ - Ratte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Körpergewicht Animal: rat, Guideline: OECD Guideline 401 (Acute Oral Toxicity), 95% CL: 2440 - 3180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Körpergewicht Animal: mouse, Guideline: OECD Guideline 401 (Acute Oral Toxicity), 95% CL: 2620 - 3620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4-tert-butylcyclohexyl acetate (32210-23-4)</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300 – 2000 mg/kg Körpergewicht Animal: rat, Animal sex: female, Guideline: OECD Guideline 420 (Acute Oral Toxicity - Fixed Dose Method), Guideline: EU Method B.1 bis (Acute Oral Toxicity - Fixed Dose Procedure)</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Spezifische Zielorgan-Toxizität bei einmaliger Exposition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Kann die Atemwege reizen.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Körpergewicht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3,7-dimethyloctan-3-ol (78-69-3)</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Lotus blanc et coton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3,7-dimethyloctan-3-ol (78-69-3)</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13,393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anisaldehyde (123-11-5)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148,32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3,7-dimethyloctan-3-ol (78-69-3)</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8,9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21,6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4-tert-butylcyclohexyl acetate (32210-23-4)</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8,6 mg/l Test organisms (species): Cyprinus carpio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5,3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22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Lotus blanc et coton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2-benzylideneheptanal (122-40-7)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3,7-dimethyloctan-3-ol (78-69-3)</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4-tert-butylcyclohexyl acetate (32210-23-4)</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anisaldehyde ; 3,7-dimethyloctan-3-ol ; cinnamaldehyde ; linalool ; isoeugenol ; 4-tert-butylcyclohexyl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anisaldehyde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(inhalativ),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Reproduktionstoxizität,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Spezifische Zielorgan-Toxizität (einmalige Exposition), Kategorie 3, Atemwegsreizung</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Hautkontakt.</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Einatmen.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die Atemwege reizen.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vermutlich die Fruchtbarkeit beeinträchtigen oder das Kind im Mutterleib schädigen.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23.06.2026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23.06.2026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Lotus blanc et coton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Lotus blanc et coton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23.06.2026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C2D133D-3A79-48A9-BFEE-6F3AC52A1489}"/>
</file>

<file path=customXml/itemProps3.xml><?xml version="1.0" encoding="utf-8"?>
<ds:datastoreItem xmlns:ds="http://schemas.openxmlformats.org/officeDocument/2006/customXml" ds:itemID="{D2A29E10-30CC-4925-A12D-164FEAE24C81}"/>
</file>

<file path=customXml/itemProps4.xml><?xml version="1.0" encoding="utf-8"?>
<ds:datastoreItem xmlns:ds="http://schemas.openxmlformats.org/officeDocument/2006/customXml" ds:itemID="{EC095D3A-2930-46B0-A979-011D1AB88E46}"/>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