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Lotus blanc et coton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2-benzylideneheptanal; 3,7-dimethyloctan-3-ol; cinnamaldehyde; 1-(1,2,3,4,5,6,7,8-octahydro-2,3,8,8-tetramethyl-2-naphthyl)ethan-1-one; 4-tert-butylcyclohexyl acetate; linalool; coumarin; isoeugenol;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Pulverisiert. Moschus.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2-benzylideneheptanal (122-40-7)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3730 mg/kg Körpergewicht Animal: rat, Guideline: OECD Guideline 401 (Acute Oral Toxicity), 95% CL: 3190 - 4370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Animal sex: female,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4680 mg/kg Source: NITE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2-benzylideneheptanal (122-40-7)</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4,53 Temp.: 26,8 °C Concentration: 1 vol</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anisaldehyde (123-11-5)</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2-benzylideneheptanal (122-40-7)</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4,53 Temp.: 26,8 °C Concentration: 1 vol</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anisaldehyde (123-11-5)</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Lotus blanc et coton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2-benzylideneheptanal (122-40-7)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0,91 mg/l Test organisms (species): not specified</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0,28 mg/l Test organisms (species): Daphnia sp.</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1,5 mg/l Test organisms (species): not specified</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2,3 mg/l Test organisms (species): not specified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0,041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0,549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Lotus blanc et coton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4-tert-butylcyclohexyl acetate (32210-23-4)</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Verteilungskoeffizient n-Oktanol/Wasser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4,8 Source: Pubchem</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3,7-dimethyloctan-3-ol ; cinnamaldehyde ; linalool ; isoeugenol ; 4-tert-butylcyclohexyl acetate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Lotus blanc et coton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Lotus blanc et coton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F07F189-2A91-4FF1-8B71-53E24A6CE28B}"/>
</file>

<file path=customXml/itemProps3.xml><?xml version="1.0" encoding="utf-8"?>
<ds:datastoreItem xmlns:ds="http://schemas.openxmlformats.org/officeDocument/2006/customXml" ds:itemID="{CCD46F56-9333-426B-9459-935F789D3CBB}"/>
</file>

<file path=customXml/itemProps4.xml><?xml version="1.0" encoding="utf-8"?>
<ds:datastoreItem xmlns:ds="http://schemas.openxmlformats.org/officeDocument/2006/customXml" ds:itemID="{5AF65061-4D5E-45CA-A85F-74C18F053987}"/>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