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Kerze Pomme verte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p w:rsidR="00827634" w:rsidRPr="0069446B" w:rsidP="009E5102" w14:paraId="29F388B8" w14:textId="4336E5B9">
      <w:pPr>
        <w:pStyle w:val="SDSTextNormal"/>
        <w:rPr>
          <w:noProof/>
        </w:rPr>
      </w:pPr>
      <w:r w:rsidRPr="0069446B">
        <w:rPr>
          <w:noProof/>
        </w:rPr>
        <w:t>Nicht eingestuft</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Pr>
          <w:noProof/>
        </w:rPr>
        <w:t>Nach unserem Kenntnisstand birgt dieses Produkt bei Einhaltung guter Arbeitshygiene keine besonderen Risiken.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P501 - Inhalt und Behälter ein Sortierzentrum, gemäß den lokalen Vorschriften zuführen.</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Enthält 2,4-Dimethylcyclohex-3-en-1-carbaldehyd, Isocyclocitral. Kann allergische Reaktionen hervorrufen.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2,4-dimethylcyclohex-3-ene-1-carbaldehyde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68039-49-6</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268-264-1</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605-043-00-4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0,105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isocyclocitral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1335-66-6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215-638-7</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605-043-00-4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br/>
              <w:t>Aquatic Chronic 3, H412</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Haut mit viel Wasser abwaschen.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Auch wenn keine spezifischen Gefahren definiert sind, sollten Ersthelfer Augenschutz, Handschuhe und eine Einweg-Halbmaske tragen. Bei wiederholter oder längerer Exposition sollte zusätzlicher Schutz in Betracht gezogen werden.</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Unter normalen Umständen keine. Staub kann Reizwirkungen in Hautfalten oder bei eng anliegender Kleidung hervorrufen.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Verunreinigten Bereich lüften.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F47A30" w:rsidRPr="0069446B" w:rsidP="00F47A30" w14:paraId="5E1F0244" w14:textId="77777777">
      <w:pPr>
        <w:pStyle w:val="SDSTextNormal"/>
        <w:bidi w:val="0"/>
        <w:rPr>
          <w:rtl w:val="0"/>
          <w:lang w:val="en-US"/>
        </w:rPr>
      </w:pPr>
      <w:r w:rsidRPr="0069446B">
        <w:rPr>
          <w:rtl w:val="0"/>
          <w:lang w:val="en-US"/>
        </w:rPr>
        <w:t>Keine weiteren Informationen verfügbar</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Grün. Fruchtig.</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Kerze Pomme verte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Angaben über sonstige Gefahren</w:t>
      </w:r>
      <w:bookmarkEnd w:id="2"/>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Das Produkt gilt weder als schädlich für Wasserorganismen noch verursacht es langfristige Schäden in der Umwelt.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Nicht eingestuft (Aufgrund der verfügbaren Daten sind die Einstufungskriterien nicht erfüllt)</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Kerze Pomme verte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2,4-dimethylcyclohex-3-ene-1-carbaldehyde (68039-49-6)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isocyclocitral (1335-66-6)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3"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p w:rsidR="00A65092" w:rsidRPr="0069446B" w:rsidP="00A65092" w14:paraId="1965DBDA" w14:textId="0FFE3A91">
      <w:pPr>
        <w:pStyle w:val="SDSTextNormal"/>
      </w:pPr>
      <w:r>
        <w:rPr>
          <w:noProof/>
        </w:rPr>
        <w:t>Enthält keine Stoffe, die im REACH-Anhang XVII (Beschränkungsbedingungen) gelistet sind</w:t>
      </w:r>
    </w:p>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3, Stark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Chronisch gewässergefährdend, Kategorie 2</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Enthält 2,4-Dimethylcyclohex-3-en-1-carbaldehyd, Isocyclocitral. Kann allergische Reaktionen hervorrufen.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21.04.2026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21.04.2026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Kerze Pomme verte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Kerze Pomme verte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21.04.2026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7EFDCCC8-85D7-4D2F-95A8-0371DC6ABE69}"/>
</file>

<file path=customXml/itemProps3.xml><?xml version="1.0" encoding="utf-8"?>
<ds:datastoreItem xmlns:ds="http://schemas.openxmlformats.org/officeDocument/2006/customXml" ds:itemID="{0431A318-7232-4908-AB6D-AD606B3C8D07}"/>
</file>

<file path=customXml/itemProps4.xml><?xml version="1.0" encoding="utf-8"?>
<ds:datastoreItem xmlns:ds="http://schemas.openxmlformats.org/officeDocument/2006/customXml" ds:itemID="{09110146-6EA2-4332-88A4-FB6E23DDA130}"/>
</file>

<file path=docProps/app.xml><?xml version="1.0" encoding="utf-8"?>
<Properties xmlns="http://schemas.openxmlformats.org/officeDocument/2006/extended-properties" xmlns:vt="http://schemas.openxmlformats.org/officeDocument/2006/docPropsVTypes">
  <Template>Normal</Template>
  <TotalTime>219</TotalTime>
  <Pages>10</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