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221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geraniol; citronellol; 3-(p-methoxyphenyl)-2-methylpropionaldehyde; linalool; d-limonene; 1-(1,2,3,4,5,6,7,8-octahydro-2,3,8,8-tetramethyl-2-naphthyl)ethan-1-one;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Körpergewicht Animal: rat, Animal sex: male, Guideline: OECD Guideline 401 (Acute Oral Toxicity), 95% CL: 3400 - 4600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221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221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3-(p-methoxyphenyl)-2-methylpropionaldehyde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221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221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A5A1A3E-8108-4EDB-B77B-86D813717018}"/>
</file>

<file path=customXml/itemProps3.xml><?xml version="1.0" encoding="utf-8"?>
<ds:datastoreItem xmlns:ds="http://schemas.openxmlformats.org/officeDocument/2006/customXml" ds:itemID="{6A156CFF-79F1-4D68-BE9E-54CC1949326C}"/>
</file>

<file path=customXml/itemProps4.xml><?xml version="1.0" encoding="utf-8"?>
<ds:datastoreItem xmlns:ds="http://schemas.openxmlformats.org/officeDocument/2006/customXml" ds:itemID="{F037B2DD-A1AD-4C2A-9DCF-8880B7E8701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