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107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SALICYLATE, TETRAHYDROLINALOOL, TETRAMETHYL ACETYLOCTAHYDRONAPHTHALENES, LIMONENE, ISOBORNEOL, COUMARIN.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18479-58-8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STOT SE 3, H336</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Farn. Holzig. Moschus. Lavendel.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Schläfrigkeit und Benommenheit verursachen.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107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107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salicylate ; 3,7-dimethyloctan-3-ol ; 2,6-dimethyloct-7-en-2-ol ; d-limonene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betäubende Wirkungen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Schläfrigkeit und Benommenheit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SALICYLATE, TETRAHYDROLINALOOL, TETRAMETHYL ACETYLOCTAHYDRONAPHTHALENES, LIMONENE, ISOBORNEOL, COUMARIN.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107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107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13.10.2026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36B095F-664B-4539-9CB9-C3545B8E1C42}"/>
</file>

<file path=customXml/itemProps3.xml><?xml version="1.0" encoding="utf-8"?>
<ds:datastoreItem xmlns:ds="http://schemas.openxmlformats.org/officeDocument/2006/customXml" ds:itemID="{4E0B719B-CAB5-4127-A73F-FC373703D23D}"/>
</file>

<file path=customXml/itemProps4.xml><?xml version="1.0" encoding="utf-8"?>
<ds:datastoreItem xmlns:ds="http://schemas.openxmlformats.org/officeDocument/2006/customXml" ds:itemID="{1DF524CC-834F-421D-A878-B97D81D6F8B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