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107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METHYL IONONES, TETRAHYDROLINALOOL, TETRAMETHYL ACETYLOCTAHYDRONAPHTHALENES, LIMONENE, ISOBORNEOL, COUMARIN, CITRAL, EUCALYPTOL.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3,5,5-trimethylhexyl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58430-94-7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261-245-9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(3-methylbutoxy)acetate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67634-00-8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266-803-5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2 (Inhalativ), H330 (ATE=0,05 mg/l/4h)</w:t>
              <w:br/>
              <w:t>STOT RE 2, H373</w:t>
              <w:br/>
              <w:t>Aquatic Acute 1, H400</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Farn. Holzig. Moschus. Lavendel.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3,5,5-trimethylhexyl acetate (58430-94-7)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4250 mg/kg Körpergewicht Animal: rat, Guideline: OECD Guideline 401 (Acute Oral Toxicity), 95% CL: 3540 - 4960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(3-methylbutoxy)acetate (67634-00-8)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3,5,5-trimethylhexyl acetate (58430-94-7)</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40 mg/kg Körpergewicht Animal: rat, Animal sex: female, Guideline: OECD Guideline 422 (Combined Repeated Dose Toxicity Study with the Reproduction / Developmental Toxicity Screening Test),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3,5,5-trimethylhexyl acetate (58430-94-7)</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allyl (3-methylbutoxy)acetate (67634-00-8)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107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3,5,5-trimethylhexyl acetate (58430-94-7)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7,7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5,8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3,8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1,3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(3-methylbutoxy)acetate (67634-00-8)</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 0,768 mg/l Test organisms (species):</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 2,06 mg/l Test organisms (species):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107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3,5,5-trimethylhexyl acetate (58430-94-7)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(3-methylbutoxy)acetate (67634-00-8)</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alpha-pinene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alpha-iso-methylionone ; 3,7-dimethyloctan-3-ol ; 2,6-dimethyloct-7-en-2-ol ; d-limonene ; 4-tert-butylcyclohexyl acetate ; citral ; alpha-pinene ; cineole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3,5,5-trimethylhexyl acetate ; d-limonene ; alpha-pinene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2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Lebensgefahr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METHYL IONONES, TETRAHYDROLINALOOL, TETRAMETHYL ACETYLOCTAHYDRONAPHTHALENES, LIMONENE, ISOBORNEOL, COUMARIN, CITRAL, EUCALYPTOL.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107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107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9D01E89-3767-41F5-8F76-2C0B62E73C23}"/>
</file>

<file path=customXml/itemProps3.xml><?xml version="1.0" encoding="utf-8"?>
<ds:datastoreItem xmlns:ds="http://schemas.openxmlformats.org/officeDocument/2006/customXml" ds:itemID="{95D5343F-F251-4D79-9468-6A7B06F0AD5F}"/>
</file>

<file path=customXml/itemProps4.xml><?xml version="1.0" encoding="utf-8"?>
<ds:datastoreItem xmlns:ds="http://schemas.openxmlformats.org/officeDocument/2006/customXml" ds:itemID="{CC297A20-FC3A-436C-94DF-FF4EFF023E4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