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104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CINNAMAL, linalool, Methylcedrylether, 1-(1,2,3,4,5,6,7,8-octahydro-2,3,8,8-tetramethyl-2-naphthyl)ethan-1-one, coumarin, (E)-1-(2,6,6-trimethyl-1,3-cyclohexadien-1-yl)-2-buten-1-one.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1A,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Orientalisch. balsamartig. holzartig.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104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104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CINNAMAL, linalool, Methylcedrylether, 1-(1,2,3,4,5,6,7,8-octahydro-2,3,8,8-tetramethyl-2-naphthyl)ethan-1-one, coumarin, (E)-1-(2,6,6-trimethyl-1,3-cyclohexadien-1-yl)-2-buten-1-one.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104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104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1E13754-3885-4287-A31C-98D427AFD3F5}"/>
</file>

<file path=customXml/itemProps3.xml><?xml version="1.0" encoding="utf-8"?>
<ds:datastoreItem xmlns:ds="http://schemas.openxmlformats.org/officeDocument/2006/customXml" ds:itemID="{43B5F0A2-8B3A-40E4-838D-4AB7B1DEDB2F}"/>
</file>

<file path=customXml/itemProps4.xml><?xml version="1.0" encoding="utf-8"?>
<ds:datastoreItem xmlns:ds="http://schemas.openxmlformats.org/officeDocument/2006/customXml" ds:itemID="{21223461-47DC-4CAB-BE1F-DC46CF907B9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