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Jasmin estival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linalyl acetate; Geraniol; pentadecan-15-olide; cinnamaldehyde; Eugenol;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2,223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0,757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0,583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 (M=1)</w:t>
              <w:br/>
              <w:t>Aquatic Chronic 3, H412</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0,0122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alcohol</w:t>
            </w:r>
          </w:p>
          <w:p w:rsidR="00827634" w:rsidRPr="0069446B" w:rsidP="009B0F8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100-51-6</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202-859-9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(ATE=1570 mg/kg)</w:t>
              <w:br/>
              <w:t>Eye Irrit. 2, H319</w:t>
              <w:br/>
              <w:t>Skin Sens. 1B, H317</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p w:rsidR="000251E6" w:rsidRPr="0069446B" w:rsidP="00DA2C0C" w14:textId="133FFE24">
      <w:pPr>
        <w:pStyle w:val="SDSTextBlankLine"/>
      </w:pPr>
    </w:p>
    <w:tbl>
      <w:tblPr>
        <w:tblStyle w:val="SDSTableWithBordersWithHeaderRow"/>
        <w:tblW w:w="10490" w:type="dxa"/>
        <w:tblLayout w:type="fixed"/>
        <w:tblLook w:val="04A0"/>
      </w:tblPr>
      <w:tblGrid>
        <w:gridCol w:w="3969"/>
        <w:gridCol w:w="6521"/>
      </w:tblGrid>
      <w:tr w14:paraId="0F45F6DF"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textId="66F3A5D6">
            <w:pPr>
              <w:pStyle w:val="SDSTableTextHeading1"/>
              <w:rPr>
                <w:noProof w:val="0"/>
                <w:color w:val="auto"/>
              </w:rPr>
            </w:pPr>
            <w:r w:rsidRPr="0069446B">
              <w:rPr>
                <w:noProof/>
                <w:color w:val="auto"/>
              </w:rPr>
              <w:t>benzyl alcohol</w:t>
            </w:r>
            <w:r w:rsidRPr="0069446B">
              <w:rPr>
                <w:noProof w:val="0"/>
                <w:color w:val="auto"/>
              </w:rPr>
              <w:t xml:space="preserve"> </w:t>
            </w:r>
            <w:r w:rsidRPr="0069446B" w:rsidR="00FD53E4">
              <w:rPr>
                <w:noProof/>
                <w:color w:val="auto"/>
              </w:rPr>
              <w:t>(100-51-6)</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Benzylalkohol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22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Y - Ein Risiko der Fruchtschädigung braucht bei Einhaltung des Arbeitsplatzgrenzwertes und des biologischen Grenzwertes (BGW) nicht befürchtet zu werden; 11 - Summe aus Dampf und Aerosolen</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Tau. Narzisse. Würzig.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linalyl acetate (115-95-7)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&gt; 9000 mg/kg Körpergewicht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Geraniol (106-24-1)</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3600 mg/kg Körpergewicht Animal: rat, 95% CL: 2840 - 4570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Körpergewicht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3120 mg/kg Körpergewicht Animal: mouse, Guideline: OECD Guideline 401 (Acute Oral Toxicity), 95% CL: 2620 - 3620</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benzyl alcohol (100-51-6)</w:t>
            </w:r>
          </w:p>
        </w:tc>
      </w:tr>
      <w:tr w14:paraId="512A600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1580 mg/kg Körpergewicht Animal: mouse, Guideline: OECD Guideline 401 (Acute Oral Toxicity), 95% CL: 1410 - 1770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2000 mg/kg Körpergewicht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d-limonene (5989-27-5)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Geraniol (106-24-1)</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Körpergewicht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Körpergewicht Animal: mouse, Animal sex: female,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F"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F"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benzyl alcohol (100-51-6)</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400 mg/kg Körpergewicht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Jasmin estival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linalyl acetate (115-95-7)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11 mg/l Test organisms (species): Cyprinus carpio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59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Geraniol (106-24-1)</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22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10,8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benzyl alcohol (100-51-6)</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460 mg/l Test organisms (species): Pimephales promelas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230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76,828 mg/l Test organisms (species): other:</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Jasmin estival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linalyl acetate (115-95-7)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Geraniol (106-24-1)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linalyl acetate ; Geraniol ; cinnamaldehyde ; Eugenol ; linalool ; d-limonene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15.06.2026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Jasmin estival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Jasmin estival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15.06.2026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285DB0B-F33A-4132-A522-47F4EBF74ED6}"/>
</file>

<file path=customXml/itemProps3.xml><?xml version="1.0" encoding="utf-8"?>
<ds:datastoreItem xmlns:ds="http://schemas.openxmlformats.org/officeDocument/2006/customXml" ds:itemID="{E92B3989-8D45-40CC-B4F0-C75C6A160B38}"/>
</file>

<file path=customXml/itemProps4.xml><?xml version="1.0" encoding="utf-8"?>
<ds:datastoreItem xmlns:ds="http://schemas.openxmlformats.org/officeDocument/2006/customXml" ds:itemID="{B8322D25-9FC7-4021-B8DE-ACC7979C83A4}"/>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