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Iris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pentadecan-15-olide; alpha-iso-methylionone; [3R-(3α,3aβ,6α,7β,8aα)]-octahydro-3,6,8,8-tetramethyl-1H-3a,7-methanoazulen-5-yl acetate; isoeugenol; 2-isopropoxyethyl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106-02-5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[3R-(3α,3aβ,7β,8aα)]-2,3,4,7,8,8a-hexahydro-3,8,8-trimethyl-1H-3a,7-methanoazulene-6-methyl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1405-92-1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215-789-9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Bernstein. Iridescent.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alpha-iso-methylionone (127-51-5)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Körpergewicht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2-isopropoxyethyl salicylate (79915-74-5)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Körpergewicht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 Guideline: EU Method B.3 (Acute Toxicity (Dermal)), Guideline: EPA OPPTS 870.1200 (Acute Dermal Toxicity),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alpha-iso-methylionone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alpha-iso-methylionone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2-isopropoxyethyl salicylate (79915-74-5)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 – 200 mg/kg Körpergewicht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alpha-iso-methylionone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Körpergewicht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Iris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alpha-iso-methylionone (127-51-5)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2-isopropoxyethyl salicylate (79915-74-5)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3,7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9,5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3,5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Iris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pentadecan-15-olide (106-02-5)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[3R-(3α,3aβ,7β,8aα)]-2,3,4,7,8,8a-hexahydro-3,8,8-trimethyl-1H-3a,7-methanoazulene-6-methyl acetate (1405-92-1)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 ; [3R-(3α,3aβ,6α,7β,8aα)]-octahydro-3,6,8,8-tetramethyl-1H-3a,7-methanoazulen-5-yl acetate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 ; [3R-(3α,3aβ,6α,7β,8aα)]-octahydro-3,6,8,8-tetramethyl-1H-3a,7-methanoazulen-5-yl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Iris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Iris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07.07.2026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4A4C951-7F12-4054-A9F9-E96D11A98F4A}"/>
</file>

<file path=customXml/itemProps3.xml><?xml version="1.0" encoding="utf-8"?>
<ds:datastoreItem xmlns:ds="http://schemas.openxmlformats.org/officeDocument/2006/customXml" ds:itemID="{A5DB8B8E-82BF-4F06-835E-6E4B482F61DD}"/>
</file>

<file path=customXml/itemProps4.xml><?xml version="1.0" encoding="utf-8"?>
<ds:datastoreItem xmlns:ds="http://schemas.openxmlformats.org/officeDocument/2006/customXml" ds:itemID="{4DD2FE15-1E3D-4FB6-9B77-EDC506315166}"/>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