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Grand air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Methylcedrylether</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18479-58-8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STOT SE 3, H336</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93-04-9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202-213-6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5"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EU - Richt-Arbeitsplatzgrenzwert (IOEL)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 ether</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Diphenylether (Dampf)</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7,1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 11 - Summe aus Dampf und Aerosolen; EU - Europäische Union (Von der EU wurde ein Luftgrenzwert festgelegt: Abweichungen bei Wert und Spitzenbegrenzung sind möglich)</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5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Aldehyd. Fruchtig. Tau.</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3a,4,5,6,7,7a-hexahydro-4,7-methanoinden-6-yl acetate (5413-60-5)</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5400 mg/kg Körpergewicht Animal: mouse,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Schläfrigkeit und Benommenheit verursachen.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Körpergewicht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Grand air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3a,4,5,6,7,7a-hexahydro-4,7-methanoinden-6-yl acetate (5413-60-5)</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16,62311 mg/l Test organisms (species): Lepomis macrochirus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Grand air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2-naphthyl ether (93-04-9)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7"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2,6-dimethyloct-7-en-2-ol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3a,4,5,6,7,7a-hexahydro-4,7-methanoinden-6-yl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betäubende Wirkungen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Schläfrigkeit und Benommenheit verursachen.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Grand air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Grand air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01.07.2026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7" Type="http://schemas.openxmlformats.org/officeDocument/2006/relationships/image" Target="media/image2.png"/><Relationship Id="rId16" Type="http://schemas.openxmlformats.org/officeDocument/2006/relationships/header" Target="header3.xml"/><Relationship Id="rId2" Type="http://schemas.openxmlformats.org/officeDocument/2006/relationships/webSettings" Target="webSettings.xml"/><Relationship Id="rId20"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15" Type="http://schemas.openxmlformats.org/officeDocument/2006/relationships/footer" Target="footer2.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styles" Target="styles.xml"/><Relationship Id="rId14"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22AB8BD-AB0B-44F4-AB4D-FEC07F4CE989}"/>
</file>

<file path=customXml/itemProps3.xml><?xml version="1.0" encoding="utf-8"?>
<ds:datastoreItem xmlns:ds="http://schemas.openxmlformats.org/officeDocument/2006/customXml" ds:itemID="{2938AE28-1A93-46A8-B118-EBB6B2FE2FA6}"/>
</file>

<file path=customXml/itemProps4.xml><?xml version="1.0" encoding="utf-8"?>
<ds:datastoreItem xmlns:ds="http://schemas.openxmlformats.org/officeDocument/2006/customXml" ds:itemID="{34C886F7-5F91-4696-879D-6BDF7D227537}"/>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