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linalool, linalyl acetate, HEXYL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Kokosnussöl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Glycerin</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Benzoesäure</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H - hautresorptiv; 11 - Summe aus Dampf und Aerosolen</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Sanft.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Körpergewicht Animal: mouse, Guideline: OECD Guideline 401 (Acute Oral Toxicity), 95% CL: 1875 - 2700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benzoic acid (65-85-0)</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benzoic acid (65-85-0)</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Körpergewicht Animal: rat</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&gt; 2500 mg/kg Körpergewicht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Schädigt die Organe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44,6 mg/l Test organisms (species): Lepomis macrochirus</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Geschirrspülmittel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Schädigt die Organe bei längerer oder wiederholter Exposition.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linalool, linalyl acetate, HEXYL CINNAMAL.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FF6EBDC-2E0F-4CDB-89AE-DBB2515D2E79}"/>
</file>

<file path=customXml/itemProps3.xml><?xml version="1.0" encoding="utf-8"?>
<ds:datastoreItem xmlns:ds="http://schemas.openxmlformats.org/officeDocument/2006/customXml" ds:itemID="{0E20EEEB-BB55-4146-AE81-1FBF8503E904}"/>
</file>

<file path=customXml/itemProps4.xml><?xml version="1.0" encoding="utf-8"?>
<ds:datastoreItem xmlns:ds="http://schemas.openxmlformats.org/officeDocument/2006/customXml" ds:itemID="{CCE9843A-B301-4334-8E81-D6E0280B7427}"/>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