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Framboise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1-(2,6,6-trimethyl-3-cyclohexen-1-yl)-2-buten-1-one;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nicht klassifiziert</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(Inhalativ),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Blumig.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Körpergewicht Animal: rat, Animal sex: male, Guideline: OECD Guideline 401 (Acute Oral Toxicity), 95% CL: 1,33 - 1,54</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Körpergewicht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Framboise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Framboise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nicht klassifiziert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das Kind im Mutterleib schädigen.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Framboise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Framboise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95679E5-6F5C-4F1C-A983-48883F4ADE8B}"/>
</file>

<file path=customXml/itemProps3.xml><?xml version="1.0" encoding="utf-8"?>
<ds:datastoreItem xmlns:ds="http://schemas.openxmlformats.org/officeDocument/2006/customXml" ds:itemID="{9CF580F5-86A3-45EC-A2E5-2645B8A126E0}"/>
</file>

<file path=customXml/itemProps4.xml><?xml version="1.0" encoding="utf-8"?>
<ds:datastoreItem xmlns:ds="http://schemas.openxmlformats.org/officeDocument/2006/customXml" ds:itemID="{16222D37-6ADA-4C16-85B9-A9201987C9E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