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Flüssigwaschmittel - fleur de cachemire 3%</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Flüssiges Waschmittel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METHYL IONONES, HEXYL CINNAMAL, linalool, ACETYL CEDRENE.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0,97 –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Kokosnussöl</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Holzig.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1610 mg/kg Source: OECD SIDS</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1230 mg/kg Körpergewicht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2000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&gt; 4000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Körpergewicht Animal: rat, Guideline: OECD Guideline 401 (Acute Oral Toxicity), 95% CL: 795 - 1066</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7940 mg/kg Körpergewicht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Körpergewicht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Körpergewicht Animal: rat, Guideline: OECD Guideline 408 (Repeated Dose 90-Day Oral Toxicity Study in Rodents)</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1-(5,6,7,8-tetrahydro-3,5,5,6,8,8-hexamethyl-2-naphthyl)ethan-1-one (1506-02-1)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460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230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 mg/l</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Flüssigwaschmittel - fleur de cachemire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benzyl alcohol (100-51-6)</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1,1</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Fatty acids, coco, potassium salts (61789-30-8)</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alpha-iso-methylionone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alcohol ; Fatty acids, coco, potassium salts ; alpha-iso-methylionone ; linalool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32388-55-9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METHYL IONONES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127-51-5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120-51-4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Seife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BENZOATE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METHYL IONONES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ACETYL CEDRENE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METHYL IONONES, HEXYL CINNAMAL, linalool, ACETYL CEDRENE.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Flüssigwaschmittel - fleur de cachemire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Flüssigwaschmittel - fleur de cachemire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24.09.2026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546C7EC-6A6B-4706-84E5-C2D33FFE0DB8}"/>
</file>

<file path=customXml/itemProps3.xml><?xml version="1.0" encoding="utf-8"?>
<ds:datastoreItem xmlns:ds="http://schemas.openxmlformats.org/officeDocument/2006/customXml" ds:itemID="{BF5E72BE-A332-434F-989B-DC0495EF53D7}"/>
</file>

<file path=customXml/itemProps4.xml><?xml version="1.0" encoding="utf-8"?>
<ds:datastoreItem xmlns:ds="http://schemas.openxmlformats.org/officeDocument/2006/customXml" ds:itemID="{949A2A67-B995-4FB7-83F5-6D5BF9F7FD8C}"/>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