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des îles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(E)-1-(2,6,6-trimethyl-1,3-cyclohexadien-1-yl)-2-buten-1-one; 1-(1,2,3,4,5,6,7,8-octahydro-2,3,8,8-tetramethyl-2-naphthyl)ethan-1-one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P302+P352 - BEI BERÜHRUNG MIT DER HAUT: Mit viel Wasser und Seife waschen.</w:t>
              <w:br/>
              <w:t>P333+P313 - Bei Hautreizung oder -ausschlag: Ärztlichen Rat einholen/ärztliche Hilfe hinzuziehen.</w:t>
              <w:br/>
              <w:t>Entsorgen Sie den Inhalt/das Behältnis in ... (... gemäß den lokalen/regionalen/nationalen oder internationalen Vorschriften).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121-33-5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204-465-2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(Inhalativ), H332</w:t>
              <w:br/>
              <w:t>Skin Irrit. 2, H315</w:t>
              <w:br/>
              <w:t>Skin Sens. 1A, H317</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Moschus. Vanille. Pulverisiert.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des îles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des îles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vanillin (121-33-5)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FLÜSSIG,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UMWELTGEFÄHRDENDER STOFF, FLÜSSIG, N.A.G.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UMWELTGEFÄHRDENDER STOFF, FLÜSSIG,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Nein</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des îles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des îles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23.04.2026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1374925-D43A-49A1-8AAE-0C9D4CF2F00D}"/>
</file>

<file path=customXml/itemProps3.xml><?xml version="1.0" encoding="utf-8"?>
<ds:datastoreItem xmlns:ds="http://schemas.openxmlformats.org/officeDocument/2006/customXml" ds:itemID="{59D0AFD3-2CCF-41AD-8C6B-786A7922B58B}"/>
</file>

<file path=customXml/itemProps4.xml><?xml version="1.0" encoding="utf-8"?>
<ds:datastoreItem xmlns:ds="http://schemas.openxmlformats.org/officeDocument/2006/customXml" ds:itemID="{747BC3B8-CE12-459B-AF8C-E5876D520A35}"/>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