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Fleur de sakura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α-hexylcinnamaldehyde; 7-hydroxycitronellal; linalyl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P501 - Inhalt/Behälter ein Sortierzentrum, gemäß den lokalen Vorschriften zuführen.</w:t>
              <w:br/>
              <w:t>P302+P352 - BEI BERÜHRUNG MIT DER HAUT: Mit viel Wasser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Bei Raumtemperatur und fern von Wärmequellen lagern.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Grün. Blumig. Honigtau.</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Körpergewicht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Fleur de sakura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7-hydroxycitronellal (107-75-5)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31,6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410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Fleur de sakura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7-hydroxycitronellal ; linalyl acetate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04.05.2026 (Überarbeitungsdatum)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04.05.2026 (Überarbeitungsdatum)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Fleur de sakura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Fleur de sakura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04.05.2026   Überarbeitungsdatum: 04.05.2026   Ersetzt Version vom: 04.05.2026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452B2FE-5CCA-44E1-8AE8-D6BCF4323825}"/>
</file>

<file path=customXml/itemProps3.xml><?xml version="1.0" encoding="utf-8"?>
<ds:datastoreItem xmlns:ds="http://schemas.openxmlformats.org/officeDocument/2006/customXml" ds:itemID="{419E8C7C-2A48-4B7A-99AA-84216CF93E62}"/>
</file>

<file path=customXml/itemProps4.xml><?xml version="1.0" encoding="utf-8"?>
<ds:datastoreItem xmlns:ds="http://schemas.openxmlformats.org/officeDocument/2006/customXml" ds:itemID="{0303C4B5-DCEC-4F64-B2AB-0FA7FECE54BE}"/>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