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lin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Giftig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citronellol; Geraniol; nerol; 7-hydroxycitronellal;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H411 - Giftig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P333+P313 - Bei Hautreizung oder -ausschlag: Ärztlichen Rat einholen/ärztliche Hilfe hinzuziehen.</w:t>
              <w:br/>
              <w:t>P391 - Verschüttete Mengen aufnehmen.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3,038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Körpergewicht)</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Verschüttete Mengen aufnehmen.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5"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Würzig. Pulverisiert.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Körpergewicht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Körpergewicht Animal: rat, Guideline: OECD Guideline 401 (Acute Oral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Körpergewicht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(inhalativ, Ratte, Staub/Nebel/Rauch,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lin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Angaben über sonstige Gefahren</w:t>
      </w:r>
      <w:bookmarkEnd w:id="4"/>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Giftig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Giftig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lin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1-(5,6,7,8-tetrahydro-3,5,5,6,8,8-hexamethyl-2-naphthyl)ethan-1-one (1506-02-1)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5"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FEST,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UMWELTGEFÄHRDENDER STOFF, FEST, N.A.G.,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UMWELTGEFÄHRDENDER STOFF, FEST, N.A.G., 9, III, MEERESSCHADSTOFF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UMWELTGEFÄHRDENDER STOFF, FEST,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UMWELTGEFÄHRDENDER STOFF, FEST,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9" name="" descr="Kennzeichnung umweltgefährdender Stoff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3" name="" descr="Kennzeichnung umweltgefährdender Stoff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7" name="" descr="Kennzeichnung umweltgefährdender Stoff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1" name="" descr="Kennzeichnung umweltgefährdender Stoff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5" name="" descr="Kennzeichnung umweltgefährdender Stoff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Ja</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Sondervorschriften für die Beförderung – lose Schüttung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7"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1"/>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Sondervorschriften für Großpackmittel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Stauung und Handhabung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Zusätzliche Anforderungen/Bemerkungen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Nur in geschmolzenem Zustand ** Bei Beförderung in loser Schüttung siehe auch 7.1.4.1 ***Nur bei Beförderung in loser Schüttung</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sidR="00FA7F7F">
              <w:rPr>
                <w:noProof/>
              </w:rPr>
              <w:t>Besondere Beförderungsbestimmungen - Schüttgut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benzyl benzoate ; citronellol ; Geraniol ; nerol ; 7-hydroxycitronellal ; linalool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1,3,4,6,7,8-hexahydro-4,6,6,7,8,8-hexamethylindeno[5,6-c]pyran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in der Störfall-Verordnung (12. BImSchV) gelistet</w:t>
            </w:r>
          </w:p>
        </w:tc>
      </w:tr>
    </w:tbl>
    <w:tbl>
      <w:tblPr>
        <w:tblStyle w:val="SDSTableWithBordersWithHeaderRow"/>
        <w:tblW w:w="10485" w:type="dxa"/>
        <w:tblLayout w:type="fixed"/>
        <w:tblLook w:val="04A0"/>
      </w:tblPr>
      <w:tblGrid>
        <w:gridCol w:w="1142"/>
        <w:gridCol w:w="849"/>
        <w:gridCol w:w="5668"/>
        <w:gridCol w:w="1415"/>
        <w:gridCol w:w="1411"/>
      </w:tblGrid>
      <w:tr w14:paraId="747E0CEA" w14:textId="77777777" w:rsidTr="00924025">
        <w:tblPrEx>
          <w:tblW w:w="10485" w:type="dxa"/>
          <w:tblLayout w:type="fixed"/>
          <w:tblLook w:val="04A0"/>
        </w:tblPrEx>
        <w:trPr>
          <w:tblHeader/>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5CFEB2D" w14:textId="080299AC">
            <w:pPr>
              <w:pStyle w:val="SDSTableTextBold"/>
              <w:rPr>
                <w:noProof w:val="0"/>
              </w:rPr>
            </w:pPr>
            <w:r w:rsidRPr="0069446B">
              <w:rPr>
                <w:noProof/>
              </w:rPr>
              <w:t>Störfall-Verordnung (12. BImSchV)</w:t>
            </w:r>
          </w:p>
        </w:tc>
      </w:tr>
      <w:tr w14:paraId="7E68D8B9" w14:textId="77777777" w:rsidTr="00924025">
        <w:tblPrEx>
          <w:tblW w:w="10485" w:type="dxa"/>
          <w:tblLayout w:type="fixed"/>
          <w:tblLook w:val="04A0"/>
        </w:tblPrEx>
        <w:trPr>
          <w:tblHeader/>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2C2589B" w14:textId="77777777">
            <w:pPr>
              <w:pStyle w:val="SDSTableTextNormal"/>
            </w:pPr>
            <w:r w:rsidRPr="0069446B">
              <w:rPr>
                <w:noProof/>
              </w:rPr>
              <w:t>Nummer</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4CE05DB" w14:textId="77777777">
            <w:pPr>
              <w:pStyle w:val="SDSTableTextNormal"/>
            </w:pPr>
            <w:r w:rsidRPr="0069446B">
              <w:rPr>
                <w:noProof/>
              </w:rPr>
              <w:t>Code</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3EC36A57" w14:textId="77777777">
            <w:pPr>
              <w:pStyle w:val="SDSTableTextNormal"/>
            </w:pPr>
            <w:r w:rsidRPr="0069446B">
              <w:rPr>
                <w:noProof/>
              </w:rPr>
              <w:t>Titel</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9D365E4" w14:textId="77777777">
            <w:pPr>
              <w:pStyle w:val="SDSTableTextNormal"/>
            </w:pPr>
            <w:r w:rsidRPr="0069446B">
              <w:rPr>
                <w:noProof/>
              </w:rPr>
              <w:t>Untere Klasse</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DF8D74F" w14:textId="77777777">
            <w:pPr>
              <w:pStyle w:val="SDSTableTextNormal"/>
            </w:pPr>
            <w:r w:rsidRPr="0069446B">
              <w:rPr>
                <w:noProof/>
              </w:rPr>
              <w:t>Obere Klasse</w:t>
            </w:r>
          </w:p>
        </w:tc>
      </w:tr>
      <w:tr w14:paraId="4D6C3E2E" w14:textId="77777777" w:rsidTr="00AF232B">
        <w:tblPrEx>
          <w:tblW w:w="10485" w:type="dxa"/>
          <w:tblLayout w:type="fixed"/>
          <w:tblLook w:val="04A0"/>
        </w:tblPrEx>
        <w:trPr>
          <w:trHeight w:val="20"/>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74F281F" w14:textId="77777777">
            <w:pPr>
              <w:pStyle w:val="SDSTableTextNormal"/>
            </w:pPr>
            <w:r w:rsidRPr="0069446B">
              <w:rPr>
                <w:noProof/>
              </w:rPr>
              <w:t>1.3.2</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52C2EAED" w14:textId="77777777">
            <w:pPr>
              <w:pStyle w:val="SDSTableTextNormal"/>
            </w:pPr>
            <w:r w:rsidRPr="0069446B">
              <w:rPr>
                <w:noProof/>
              </w:rPr>
              <w:t>E2</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ABB72BF" w14:textId="77777777">
            <w:pPr>
              <w:pStyle w:val="SDSTableTextNormal"/>
            </w:pPr>
            <w:r w:rsidRPr="0069446B">
              <w:rPr>
                <w:noProof/>
              </w:rPr>
              <w:t>Gewässergefährdend, Kategorie Chronisch 2</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42DCB67" w14:textId="77777777">
            <w:pPr>
              <w:pStyle w:val="SDSTableTextNormal"/>
              <w:jc w:val="right"/>
            </w:pPr>
            <w:r w:rsidRPr="0069446B">
              <w:rPr>
                <w:noProof/>
              </w:rPr>
              <w:t>200.000 kg</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0BE0E2DF" w14:textId="77777777">
            <w:pPr>
              <w:pStyle w:val="SDSTableTextNormal"/>
              <w:jc w:val="right"/>
            </w:pPr>
            <w:r w:rsidRPr="0069446B">
              <w:rPr>
                <w:noProof/>
              </w:rPr>
              <w:t>500.000 kg</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lin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lin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29.05.2026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7" Type="http://schemas.openxmlformats.org/officeDocument/2006/relationships/image" Target="media/image2.png"/><Relationship Id="rId16" Type="http://schemas.openxmlformats.org/officeDocument/2006/relationships/header" Target="header3.xml"/><Relationship Id="rId2" Type="http://schemas.openxmlformats.org/officeDocument/2006/relationships/webSettings" Target="webSettings.xml"/><Relationship Id="rId20"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15" Type="http://schemas.openxmlformats.org/officeDocument/2006/relationships/footer" Target="footer2.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styles" Target="styles.xml"/><Relationship Id="rId14"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92F1AD3-8133-4E26-B552-A44A22CE781A}"/>
</file>

<file path=customXml/itemProps3.xml><?xml version="1.0" encoding="utf-8"?>
<ds:datastoreItem xmlns:ds="http://schemas.openxmlformats.org/officeDocument/2006/customXml" ds:itemID="{0D698203-19DB-46BF-8672-D634901C3F81}"/>
</file>

<file path=customXml/itemProps4.xml><?xml version="1.0" encoding="utf-8"?>
<ds:datastoreItem xmlns:ds="http://schemas.openxmlformats.org/officeDocument/2006/customXml" ds:itemID="{DF91FCEE-9196-4103-B27C-E755863CEEE6}"/>
</file>

<file path=docProps/app.xml><?xml version="1.0" encoding="utf-8"?>
<Properties xmlns="http://schemas.openxmlformats.org/officeDocument/2006/extended-properties" xmlns:vt="http://schemas.openxmlformats.org/officeDocument/2006/docPropsVTypes">
  <Template>Normal</Template>
  <TotalTime>219</TotalTime>
  <Pages>18</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