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coton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Geraniol; (2E)-3,7-Dimethylocta-2,6-dien-1-ol, citronellol, alpha-iso-methylionone, nerol, pentadecan-15-olide, linalool, [3R-(3α,3aβ,6α,7β,8aα)]-octahydro-3,6,8,8-tetramethyl-1H-3a,7-methanoazulen-5-yl acetate, HYDROXYCITRONELLAL, coumarin, TRIMETHYLTRICYCLODODECANYL ACETATE.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0,4991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Pulverisiert. holzartig.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Körpergewicht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Körpergewicht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coton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coton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nerol ; linalool ; [3R-(3α,3aβ,6α,7β,8aα)]-octahydro-3,6,8,8-tetramethyl-1H-3a,7-methanoazulen-5-yl acetate ; 7-hydroxycitronellal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Geraniol; (2E)-3,7-Dimethylocta-2,6-dien-1-ol, citronellol, alpha-iso-methylionone, nerol, pentadecan-15-olide, linalool, [3R-(3α,3aβ,6α,7β,8aα)]-octahydro-3,6,8,8-tetramethyl-1H-3a,7-methanoazulen-5-yl acetate, HYDROXYCITRONELLAL, coumarin, TRIMETHYLTRICYCLODODECANYL ACETATE.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coton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coton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21.05.2026   Überarbeitungsdatum: 18.06.2026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089CE76-9C67-48F6-807F-8543008D41E1}"/>
</file>

<file path=customXml/itemProps3.xml><?xml version="1.0" encoding="utf-8"?>
<ds:datastoreItem xmlns:ds="http://schemas.openxmlformats.org/officeDocument/2006/customXml" ds:itemID="{8F17E7B2-034E-4A97-9997-0FFC8339E498}"/>
</file>

<file path=customXml/itemProps4.xml><?xml version="1.0" encoding="utf-8"?>
<ds:datastoreItem xmlns:ds="http://schemas.openxmlformats.org/officeDocument/2006/customXml" ds:itemID="{2560A8C8-62B2-4428-8EA8-420F221FA442}"/>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