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citronnier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Darf nicht in die Hände von Kindern gelangen.</w:t>
              <w:br/>
              <w:t>P273 - Freisetzung in die Umwelt vermeiden.</w:t>
              <w:br/>
              <w:t>P501 - Inhalt und Behälter ein Sortierzentrum, gemäß den lokalen Vorschriften zuführen.</w:t>
              <w:br/>
              <w:t>P101 - Ist ärztlicher Rat erforderlich, Verpackung oder Kennzeichnungsetikett bereithalten.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citral, 1-(1,2,3,4,5,6,7,8-octahydro-2,3,8,8-tetramethyl-2-naphthyl)ethan-1-one, 3,7-dimethylnona-1,6-dien-3-ol, LIMONENE, geranyl acetate.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0,4949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(ATE=218 mg/kg Körpergewicht)</w:t>
              <w:br/>
              <w:t>Acute Tox. 3 (Dermal), H311 (ATE=810 mg/kg Körpergewicht)</w:t>
              <w:br/>
              <w:t>Aquatic Acute 1, H400 (M=10)</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Blumig.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Körpergewicht Animal: rat, 95% CL: 5450 - 7340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Körpergewicht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citronnier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citronnier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geranyl acetate ; allyl heptanoate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geranyl acetate ; allyl heptanoate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Hautkontakt.</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citral, 1-(1,2,3,4,5,6,7,8-octahydro-2,3,8,8-tetramethyl-2-naphthyl)ethan-1-one, 3,7-dimethylnona-1,6-dien-3-ol, LIMONENE, geranyl acetate.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31.03.2026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31.03.2026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citronnier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citronnier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31.03.2026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BD575D8-0B84-4D36-8962-0A6238948918}"/>
</file>

<file path=customXml/itemProps3.xml><?xml version="1.0" encoding="utf-8"?>
<ds:datastoreItem xmlns:ds="http://schemas.openxmlformats.org/officeDocument/2006/customXml" ds:itemID="{DE701D37-6B32-4457-9C6F-46B0AE82B7CD}"/>
</file>

<file path=customXml/itemProps4.xml><?xml version="1.0" encoding="utf-8"?>
<ds:datastoreItem xmlns:ds="http://schemas.openxmlformats.org/officeDocument/2006/customXml" ds:itemID="{DC5E1EBE-3FDE-4EE4-9A42-461547F1F11A}"/>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