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d'eau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[3R-(3α,3aβ,6α,7β,8aα)]-octahydro-3,6,8,8-tetramethyl-1H-3a,7-methanoazulen-5-yl acetate;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KONTAKT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krautig. Marine. holzartig. Aromatisch.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Körpergewicht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d'eau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d'eau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Geraniol ; linalool ; d-limonene ; [3R-(3α,3aβ,6α,7β,8aα)]-octahydro-3,6,8,8-tetramethyl-1H-3a,7-methanoazulen-5-yl acetate ; α-methyl-1,3-benzodioxole-5-propionaldehyde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d'eau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d'eau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13.04.2026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FCE677-89ED-4F88-9C46-C91EA4335B33}"/>
</file>

<file path=customXml/itemProps3.xml><?xml version="1.0" encoding="utf-8"?>
<ds:datastoreItem xmlns:ds="http://schemas.openxmlformats.org/officeDocument/2006/customXml" ds:itemID="{AD6BC59E-39F9-46B9-802E-33BDEFA13AA4}"/>
</file>

<file path=customXml/itemProps4.xml><?xml version="1.0" encoding="utf-8"?>
<ds:datastoreItem xmlns:ds="http://schemas.openxmlformats.org/officeDocument/2006/customXml" ds:itemID="{42CDF9B2-5342-4E36-970B-AAAF4C97811F}"/>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