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Feuille de figuier kerze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Chronisch gewässergefährdend, Kategorie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Kann allergische Hautreaktionen verursachen. Giftig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alpha-iso-methylionone; Methylcedrylether; 1-(1,2,3,4,5,6,7,8-octahydro-2,3,8,8-tetramethyl-2-naphthyl)ethan-1-one; cashmeran; Acétate de 4-tert-butylcyclohexyle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Kann allergische Hautreaktionen verursachen.</w:t>
              <w:br/>
              <w:t>H411 - Giftig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P102 - Darf nicht in die Hände von Kindern gelangen.</w:t>
              <w:br/>
              <w:t>P101 - Ist ärztlicher Rat erforderlich, Verpackung oder Kennzeichnungsetikett bereithalten.</w:t>
              <w:br/>
              <w:t>P273 - Freisetzung in die Umwelt vermeiden.</w:t>
              <w:br/>
              <w:t>P302+P352 - BEI KONTAKT MIT DER HAUT: Mit viel Wasser und Seife waschen.</w:t>
              <w:br/>
              <w:t>P333+P313 - Bei Hautreizung oder -ausschlag: Ärztlichen Rat einholen/ärztliche Hilfe hinzuziehen.</w:t>
              <w:br/>
              <w:t>P501 - Inhalt/Behälter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Methylcedrylether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19870-74-7</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243-384-7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cashmeran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33704-61-9</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251-649-3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Acétate de 4-tert-butylcyclohexyle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0,098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Verschüttete Mengen aufnehmen.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5"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Fruchtig. Grün. Bernstein.</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alpha-iso-methylionone (127-51-5)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Körpergewicht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cashmeran (33704-61-9)</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2685 mg/kg Körpergewicht Animal: rat, Animal sex: female, Guideline: OECD Guideline 401 (Acute Oral Toxicity), 95% CL: 2043 - 3529</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Acétate de 4-tert-butylcyclohexyle (32210-23-4)</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Körpergewicht Animal: rat, Animal sex: female, Guideline: OECD Guideline 420 (Acute Oral Toxicity - Fixed Dose Method), Guideline: EU Method B.1 bis (Acute Oral Toxicity - Fixed Dose Procedure)</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cashmeran (33704-61-9)</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(Tier, männlich,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150 mg/kg Körpergewicht Animal: rat, Animal sex: male, Guideline: OECD Guideline 421 (Reproduction / Developmental Toxicity Screening Test)</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1875 mg/kg Körpergewicht Animal: rat, Animal sex: female, Guideline: OECD Guideline 421 (Reproduction / Developmental Toxicity Screening Test)</w:t>
            </w:r>
          </w:p>
        </w:tc>
      </w:tr>
      <w:tr w14:paraId="7F80DA22"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E7414" w14:textId="39CCFB47">
            <w:pPr>
              <w:pStyle w:val="SDSTableTextNormal"/>
              <w:rPr>
                <w:noProof w:val="0"/>
              </w:rPr>
            </w:pPr>
            <w:r w:rsidRPr="0069446B" w:rsidR="00FA7F7F">
              <w:rPr>
                <w:noProof/>
              </w:rPr>
              <w:t>NOAEL (Tier, männlich,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777F1B7" w14:textId="10B7482F">
            <w:pPr>
              <w:pStyle w:val="SDSTableTextNormal"/>
              <w:rPr>
                <w:noProof w:val="0"/>
              </w:rPr>
            </w:pPr>
            <w:r w:rsidRPr="0069446B">
              <w:rPr>
                <w:noProof/>
              </w:rPr>
              <w:t>1875 mg/kg Körpergewicht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alpha-iso-methylionone (127-51-5)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Körpergewicht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cashmeran (33704-61-9)</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 mg/kg Körpergewicht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Feuille de figuier kerze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Giftig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Giftig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alpha-iso-methylionone (127-51-5)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10,9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cashmeran (33704-61-9)</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1,7 mg/l Test organisms (species): Oryzias latipes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1,5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Acétate de 4-tert-butylcyclohexyle (32210-23-4)</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Feuille de figuier 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alpha-iso-methylionone (127-51-5)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Methylcedrylether (19870-74-7)</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 (469-61-4)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cashmeran (33704-61-9)</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Acétate de 4-tert-butylcyclohexyle (32210-23-4)</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UMWELTGEFÄHRDENDER STOFF, FEST, N.A.G.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UMWELTGEFÄHRDENDER STOFF, FEST, N.A.G.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UMWELTGEFÄHRDENDER STOFF, FEST, N.A.G.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UMWELTGEFÄHRDENDER STOFF, FEST, N.A.G.</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Eintragung in das Beförderungspapier</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UMWELTGEFÄHRDENDER STOFF, FEST, N.A.G. ,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UMWELTGEFÄHRDENDER STOFF, FEST, N.A.G., 9, III, MEERESSCHADSTOFF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UMWELTGEFÄHRDENDER STOFF, FEST, N.A.G.,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UMWELTGEFÄHRDENDER STOFF, FEST, N.A.G.,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9" name="" descr="Kennzeichnung umweltgefährdender Stoffe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1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3" name="" descr="Kennzeichnung umweltgefährdender Stoffe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7" name="" descr="Kennzeichnung umweltgefährdender Stoffe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1" name="" descr="Kennzeichnung umweltgefährdender Stoffe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5" name="" descr="Kennzeichnung umweltgefährdender Stoffe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p w:rsidR="00E5555B" w:rsidRPr="0069446B" w:rsidP="00CB352E" w14:paraId="59B4C75B" w14:textId="3A38D38E">
            <w:pPr>
              <w:pStyle w:val="SDSTableTextCentered"/>
              <w:rPr>
                <w:noProof w:val="0"/>
              </w:rPr>
            </w:pPr>
            <w:r w:rsidRPr="0069446B" w:rsidR="00FA7F7F">
              <w:rPr>
                <w:noProof/>
              </w:rPr>
              <w:t>Meeresschadstoff</w:t>
            </w:r>
            <w:r w:rsidRPr="0069446B">
              <w:rPr>
                <w:noProof w:val="0"/>
              </w:rPr>
              <w:t xml:space="preserve">: </w:t>
            </w:r>
            <w:r w:rsidRPr="0069446B" w:rsidR="00FA7F7F">
              <w:rPr>
                <w:noProof/>
              </w:rPr>
              <w:t>Ja</w:t>
            </w:r>
          </w:p>
          <w:p w:rsidR="00C93EB0" w:rsidRPr="0069446B" w:rsidP="00C93EB0" w14:paraId="3E1963A9" w14:textId="2D18F11C">
            <w:pPr>
              <w:pStyle w:val="SDSTableTextCentered"/>
              <w:rPr>
                <w:noProof w:val="0"/>
              </w:rPr>
            </w:pPr>
            <w:r w:rsidRPr="0069446B" w:rsidR="00FA7F7F">
              <w:rPr>
                <w:noProof/>
              </w:rPr>
              <w:t>EmS-Nr. (Brand)</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EmS-Nr. (Unbeabsichtigte Freisetzung)</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Klassifizierungscode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Sondervorschriften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Begrenzte Mengen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Freigestellte Mengen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Verpackungsanweisungen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Sondervorschriften für die Verpackung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sidR="00FA7F7F">
              <w:rPr>
                <w:noProof/>
                <w:lang w:val="nl-BE"/>
              </w:rPr>
              <w:t>Sondervorschriften für die Zusammenpackung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Anweisungen für ortsbewegliche Tanks und Schüttgut-Container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Sondervorschriften für ortsbewegliche Tanks und Schüttgut-Container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Tankcodierung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Fahrzeug für die Beförderung in Tanks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Beförderungskategorie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Sondervorschriften für die Beförderung - Versandstücke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Sondervorschriften für die Beförderung – lose Schüttung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Sondervorschriften für die Beförderung - Be- und Entladung, Handhabung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Nummer zur Kennzeichnung der Gefahr (Kemler-Zahl)</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Orangefarbene Tafeln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7" name="" descr="Orangefarbene Tafel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11"/>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Tunnelbeschränkungscode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Sonderbestimmung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Begrenzte Mengen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Freigestellte Mengen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Verpackungsanweisungen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Sondervorschriften für die Verpackung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IBC-Verpackungsanweisungen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Sondervorschriften für Großpackmittel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Tankanweisungen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Besondere Bestimmungen für Tanks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Staukategorie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Stauung und Handhabung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sidR="00FA7F7F">
              <w:rPr>
                <w:noProof/>
              </w:rPr>
              <w:t>PCA freigestellte Mengen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sidR="00FA7F7F">
              <w:rPr>
                <w:noProof/>
              </w:rPr>
              <w:t>PCA begrenzte Mengen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sidR="00FA7F7F">
              <w:rPr>
                <w:noProof/>
                <w:lang w:val="fr-BE"/>
              </w:rPr>
              <w:t>PCA begrenzte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sidR="00FA7F7F">
              <w:rPr>
                <w:noProof/>
              </w:rPr>
              <w:t>PCA Verpackungsvorschriften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sidR="00FA7F7F">
              <w:rPr>
                <w:noProof/>
              </w:rPr>
              <w:t>PCA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sidR="00FA7F7F">
              <w:rPr>
                <w:noProof/>
              </w:rPr>
              <w:t>CAO Verpackungsvorschriften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CAO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Sondervorschriften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ERG-Code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Klassifizierungscode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Sondervorschriften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Begrenzte Mengen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Freigestellte Mengen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Beförderung zugelassen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Ausrüstung erforderlich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Anzahl der blauen Kegel/Lichter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Zusätzliche Anforderungen/Bemerkungen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Nur in geschmolzenem Zustand ** Bei Beförderung in loser Schüttung siehe auch 7.1.4.1 ***Nur bei Beförderung in loser Schüttung</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Klassifizierungscode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Sonderbestimmung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Begrenzte Mengen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Freigestellte Mengen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Verpackungsanweisungen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Sondervorschriften für die Verpackung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sidR="00FA7F7F">
              <w:rPr>
                <w:noProof/>
              </w:rPr>
              <w:t>Sondervorschriften für die Zusammenpackung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Anweisungen für Tankfahrzeuge und Schüttgutcontainer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Besondere Bestimmungen für Tankfahrzeuge und Schüttgutcontainer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sidR="00FA7F7F">
              <w:rPr>
                <w:noProof/>
              </w:rPr>
              <w:t>Tankcodierungen für RID-Tanks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Beförderungskategorie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sidR="00FA7F7F">
              <w:rPr>
                <w:noProof/>
              </w:rPr>
              <w:t>Besondere Beförderungsbestimmungen - Versandstücke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sidR="00FA7F7F">
              <w:rPr>
                <w:noProof/>
              </w:rPr>
              <w:t>Besondere Beförderungsbestimmungen - Schüttgut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Besondere Bestimmungen für die Beförderung - Be-, Entladen und Handhabung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Expressgut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Nummer zur Kennzeichnung der Gefahr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2, Deutlich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in der Störfall-Verordnung (12. BImSchV) gelistet</w:t>
            </w:r>
          </w:p>
        </w:tc>
      </w:tr>
    </w:tbl>
    <w:tbl>
      <w:tblPr>
        <w:tblStyle w:val="SDSTableWithBordersWithHeaderRow"/>
        <w:tblW w:w="10485" w:type="dxa"/>
        <w:tblLayout w:type="fixed"/>
        <w:tblLook w:val="04A0"/>
      </w:tblPr>
      <w:tblGrid>
        <w:gridCol w:w="1142"/>
        <w:gridCol w:w="849"/>
        <w:gridCol w:w="5668"/>
        <w:gridCol w:w="1415"/>
        <w:gridCol w:w="1411"/>
      </w:tblGrid>
      <w:tr w14:paraId="747E0CEA" w14:textId="77777777" w:rsidTr="00924025">
        <w:tblPrEx>
          <w:tblW w:w="10485" w:type="dxa"/>
          <w:tblLayout w:type="fixed"/>
          <w:tblLook w:val="04A0"/>
        </w:tblPrEx>
        <w:trPr>
          <w:tblHeader/>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5CFEB2D" w14:textId="080299AC">
            <w:pPr>
              <w:pStyle w:val="SDSTableTextBold"/>
              <w:rPr>
                <w:noProof w:val="0"/>
              </w:rPr>
            </w:pPr>
            <w:r w:rsidRPr="0069446B">
              <w:rPr>
                <w:noProof/>
              </w:rPr>
              <w:t>Störfall-Verordnung (12. BImSchV)</w:t>
            </w:r>
          </w:p>
        </w:tc>
      </w:tr>
      <w:tr w14:paraId="7E68D8B9" w14:textId="77777777" w:rsidTr="00924025">
        <w:tblPrEx>
          <w:tblW w:w="10485" w:type="dxa"/>
          <w:tblLayout w:type="fixed"/>
          <w:tblLook w:val="04A0"/>
        </w:tblPrEx>
        <w:trPr>
          <w:tblHeader/>
        </w:trPr>
        <w:tc>
          <w:tcPr>
            <w:tcW w:w="54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22C2589B" w14:textId="77777777">
            <w:pPr>
              <w:pStyle w:val="SDSTableTextNormal"/>
            </w:pPr>
            <w:r w:rsidRPr="0069446B">
              <w:rPr>
                <w:noProof/>
              </w:rPr>
              <w:t>Nummer</w:t>
            </w:r>
          </w:p>
        </w:tc>
        <w:tc>
          <w:tcPr>
            <w:tcW w:w="40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4CE05DB" w14:textId="77777777">
            <w:pPr>
              <w:pStyle w:val="SDSTableTextNormal"/>
            </w:pPr>
            <w:r w:rsidRPr="0069446B">
              <w:rPr>
                <w:noProof/>
              </w:rPr>
              <w:t>Code</w:t>
            </w:r>
          </w:p>
        </w:tc>
        <w:tc>
          <w:tcPr>
            <w:tcW w:w="2703"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3EC36A57" w14:textId="77777777">
            <w:pPr>
              <w:pStyle w:val="SDSTableTextNormal"/>
            </w:pPr>
            <w:r w:rsidRPr="0069446B">
              <w:rPr>
                <w:noProof/>
              </w:rPr>
              <w:t>Titel</w:t>
            </w:r>
          </w:p>
        </w:tc>
        <w:tc>
          <w:tcPr>
            <w:tcW w:w="67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9D365E4" w14:textId="77777777">
            <w:pPr>
              <w:pStyle w:val="SDSTableTextNormal"/>
            </w:pPr>
            <w:r w:rsidRPr="0069446B">
              <w:rPr>
                <w:noProof/>
              </w:rPr>
              <w:t>Untere Klasse</w:t>
            </w:r>
          </w:p>
        </w:tc>
        <w:tc>
          <w:tcPr>
            <w:tcW w:w="67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DF8D74F" w14:textId="77777777">
            <w:pPr>
              <w:pStyle w:val="SDSTableTextNormal"/>
            </w:pPr>
            <w:r w:rsidRPr="0069446B">
              <w:rPr>
                <w:noProof/>
              </w:rPr>
              <w:t>Obere Klasse</w:t>
            </w:r>
          </w:p>
        </w:tc>
      </w:tr>
      <w:tr w14:paraId="4D6C3E2E" w14:textId="77777777" w:rsidTr="00AF232B">
        <w:tblPrEx>
          <w:tblW w:w="10485" w:type="dxa"/>
          <w:tblLayout w:type="fixed"/>
          <w:tblLook w:val="04A0"/>
        </w:tblPrEx>
        <w:trPr>
          <w:trHeight w:val="20"/>
        </w:trPr>
        <w:tc>
          <w:tcPr>
            <w:tcW w:w="54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74F281F" w14:textId="77777777">
            <w:pPr>
              <w:pStyle w:val="SDSTableTextNormal"/>
            </w:pPr>
            <w:r w:rsidRPr="0069446B">
              <w:rPr>
                <w:noProof/>
              </w:rPr>
              <w:t>1.3.2</w:t>
            </w:r>
          </w:p>
        </w:tc>
        <w:tc>
          <w:tcPr>
            <w:tcW w:w="40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52C2EAED" w14:textId="77777777">
            <w:pPr>
              <w:pStyle w:val="SDSTableTextNormal"/>
            </w:pPr>
            <w:r w:rsidRPr="0069446B">
              <w:rPr>
                <w:noProof/>
              </w:rPr>
              <w:t>E2</w:t>
            </w:r>
          </w:p>
        </w:tc>
        <w:tc>
          <w:tcPr>
            <w:tcW w:w="2703"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ABB72BF" w14:textId="77777777">
            <w:pPr>
              <w:pStyle w:val="SDSTableTextNormal"/>
            </w:pPr>
            <w:r w:rsidRPr="0069446B">
              <w:rPr>
                <w:noProof/>
              </w:rPr>
              <w:t>Gewässergefährdend, Kategorie Chronisch 2</w:t>
            </w:r>
          </w:p>
        </w:tc>
        <w:tc>
          <w:tcPr>
            <w:tcW w:w="67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242DCB67" w14:textId="77777777">
            <w:pPr>
              <w:pStyle w:val="SDSTableTextNormal"/>
              <w:jc w:val="right"/>
            </w:pPr>
            <w:r w:rsidRPr="0069446B">
              <w:rPr>
                <w:noProof/>
              </w:rPr>
              <w:t>200.000 kg</w:t>
            </w:r>
          </w:p>
        </w:tc>
        <w:tc>
          <w:tcPr>
            <w:tcW w:w="67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0BE0E2DF" w14:textId="77777777">
            <w:pPr>
              <w:pStyle w:val="SDSTableTextNormal"/>
              <w:jc w:val="right"/>
            </w:pPr>
            <w:r w:rsidRPr="0069446B">
              <w:rPr>
                <w:noProof/>
              </w:rPr>
              <w:t>500.000 kg</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 gewässergefährdend, Kategorie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09.07.2026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09.07.2026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Feuille de figuier 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Feuille de figuier kerze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09.07.2026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theme" Target="theme/theme1.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7" Type="http://schemas.openxmlformats.org/officeDocument/2006/relationships/image" Target="media/image2.png"/><Relationship Id="rId16" Type="http://schemas.openxmlformats.org/officeDocument/2006/relationships/header" Target="header3.xml"/><Relationship Id="rId2" Type="http://schemas.openxmlformats.org/officeDocument/2006/relationships/webSettings" Target="webSettings.xml"/><Relationship Id="rId20"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image" Target="media/image6.png"/><Relationship Id="rId6" Type="http://schemas.openxmlformats.org/officeDocument/2006/relationships/image" Target="media/image1.png"/><Relationship Id="rId15" Type="http://schemas.openxmlformats.org/officeDocument/2006/relationships/footer" Target="footer2.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styles" Target="styles.xml"/><Relationship Id="rId14" Type="http://schemas.openxmlformats.org/officeDocument/2006/relationships/footer" Target="footer1.xml"/><Relationship Id="rId4" Type="http://schemas.openxmlformats.org/officeDocument/2006/relationships/customXml" Target="../customXml/item1.xml"/><Relationship Id="rId9" Type="http://schemas.openxmlformats.org/officeDocument/2006/relationships/image" Target="media/image4.png"/><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019215F6-765F-4F1B-96F8-83F37BFEF54B}"/>
</file>

<file path=customXml/itemProps3.xml><?xml version="1.0" encoding="utf-8"?>
<ds:datastoreItem xmlns:ds="http://schemas.openxmlformats.org/officeDocument/2006/customXml" ds:itemID="{72B095C5-B3A5-41EA-B330-98F17833AF41}"/>
</file>

<file path=customXml/itemProps4.xml><?xml version="1.0" encoding="utf-8"?>
<ds:datastoreItem xmlns:ds="http://schemas.openxmlformats.org/officeDocument/2006/customXml" ds:itemID="{5C7392F4-AF2B-477B-8127-9C81F8A05E32}"/>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