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Feu de bois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Acétate de 4-tert-butylcyclohexyle, cashmeran.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Leder.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cashmeran (33704-61-9)</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2685 mg/kg Körpergewicht Animal: rat, Animal sex: female, Guideline: OECD Guideline 401 (Acute Oral Toxicity), 95% CL: 2043 - 3529</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Körpergewicht Animal: rat, Animal sex: male, Guideline: OECD Guideline 421 (Reproduction / Developmental Toxicity Screening Test)</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1875 mg/kg Körpergewicht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(Tier, männlich,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Körpergewicht Animal: rat, Animal sex: male, Guideline: OECD Guideline 421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cashmeran (33704-61-9)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Feu de bois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cashmeran (33704-61-9)</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1,7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Feu de bois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Acétate de 4-tert-butylcyclohexyle, cashmeran.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09.06.2026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Feu de bois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Feu de bois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09.06.2026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EAC65E7-9106-40CE-8297-B0CB1A7B1F75}"/>
</file>

<file path=customXml/itemProps3.xml><?xml version="1.0" encoding="utf-8"?>
<ds:datastoreItem xmlns:ds="http://schemas.openxmlformats.org/officeDocument/2006/customXml" ds:itemID="{4FA2782E-BCBF-4202-81BC-1C79C1DA92AB}"/>
</file>

<file path=customXml/itemProps4.xml><?xml version="1.0" encoding="utf-8"?>
<ds:datastoreItem xmlns:ds="http://schemas.openxmlformats.org/officeDocument/2006/customXml" ds:itemID="{A0F8C455-5098-4995-9042-FC8D6E5A5C99}"/>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