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Cupcake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cinnamaldehyde; piperonal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3-ethoxy-4-hydroxybenzaldehyde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121-32-4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piperonal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120-57-0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204-409-7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H361fd</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butanedione</w:t>
            </w:r>
          </w:p>
          <w:p w:rsidR="00827634" w:rsidRPr="0069446B" w:rsidP="009B0F88" w14:paraId="147D3D58" w14:textId="33B2CEBF">
            <w:pPr>
              <w:pStyle w:val="SDSTableTextNormal"/>
              <w:rPr>
                <w:noProof w:val="0"/>
              </w:rPr>
            </w:pPr>
            <w:r w:rsidRPr="0069446B">
              <w:rPr>
                <w:noProof/>
              </w:rPr>
              <w:t>Stoff mit nationalem Arbeitsplatzgrenzwert (DE); Stoff, für den ein gemeinschaftlicher Grenzwert für die Exposition am Arbeitsplatz gilt</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431-03-8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207-069-8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2, H225</w:t>
              <w:br/>
              <w:t>Acute Tox. 4 (Oral), H302 (ATE=500 mg/kg Körpergewicht)</w:t>
              <w:br/>
              <w:t>Acute Tox. 3 (Inhalativ), H331</w:t>
              <w:br/>
              <w:t>Skin Irrit. 2, H315</w:t>
              <w:br/>
              <w:t>Eye Dam. 1, H318</w:t>
              <w:br/>
              <w:t>Skin Sens. 1, H317</w:t>
              <w:br/>
              <w:t>STOT RE 2, H373</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butanedione</w:t>
            </w:r>
            <w:r w:rsidRPr="0069446B">
              <w:rPr>
                <w:noProof w:val="0"/>
                <w:color w:val="auto"/>
              </w:rPr>
              <w:t xml:space="preserve"> </w:t>
            </w:r>
            <w:r w:rsidRPr="0069446B" w:rsidR="00FD53E4">
              <w:rPr>
                <w:noProof/>
                <w:color w:val="auto"/>
              </w:rPr>
              <w:t>(431-03-8)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EU - Richt-Arbeitsplatzgrenzwert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Diacetyl; Butanedione</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0,07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0,02 ppm</w:t>
            </w:r>
          </w:p>
        </w:tc>
      </w:tr>
      <w:tr w14:paraId="70951C3C"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0,36 mg/m³</w:t>
            </w:r>
          </w:p>
        </w:tc>
      </w:tr>
      <w:tr w14:paraId="70951C3D"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0,1 ppm</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(EU) 2017/164</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Butandion (Diacetyl)</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0,071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0,02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1(II)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 EU - Europäische Union (Von der EU wurde ein Luftgrenzwert festgelegt: Abweichungen bei Wert und Spitzenbegrenzung sind möglich)</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Vanille. Feinschmecker. Milch.</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3-ethoxy-4-hydroxybenzaldehyde (121-32-4)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3160 mg/kg Körpergewicht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piperonal (120-57-0)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2700 mg/kg Körpergewicht Animal: rat, Guideline: OECD Guideline 401 (Acute Oral Toxicity), 95% CL: 2350 - 3100</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Körpergewicht Animal: rat, Guideline: other:,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Körpergewicht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3-ethoxy-4-hydroxybenzaldehyde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Körpergewicht Animal: rat, Animal sex: female,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piperonal (120-57-0)</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300 mg/kg Körpergewicht Animal: rat, Guideline: OECD Guideline 422 (Combined Repeated Dose Toxicity Study with the Reproduction / Developmental Toxicity Screening Test),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butanedione (431-03-8)</w:t>
            </w:r>
          </w:p>
        </w:tc>
      </w:tr>
      <w:tr w14:paraId="284BEFF8"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3AFF7EC2" w14:textId="08937FBC">
            <w:pPr>
              <w:pStyle w:val="SDSTableTextNormal"/>
              <w:rPr>
                <w:noProof w:val="0"/>
              </w:rPr>
            </w:pPr>
            <w:r w:rsidRPr="0069446B" w:rsidR="00FA7F7F">
              <w:rPr>
                <w:noProof/>
              </w:rPr>
              <w:t>Spezifische Zielorgan-Toxizität bei wiederholter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76AEBB14" w14:textId="52160869">
            <w:pPr>
              <w:pStyle w:val="SDSTableTextNormal"/>
              <w:rPr>
                <w:noProof w:val="0"/>
              </w:rPr>
            </w:pPr>
            <w:r w:rsidRPr="0069446B" w:rsidR="00FA7F7F">
              <w:rPr>
                <w:noProof/>
              </w:rPr>
              <w:t>Kann die Organe schädigen bei längerer oder wiederholter Exposition.</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Cupcake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3-ethoxy-4-hydroxybenzaldehyde (121-32-4)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87,6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26,2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10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piperonal (120-57-0)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2,5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31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6,8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1,53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Cupcake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3-ethoxy-4-hydroxybenzaldehyde (121-32-4)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piperonal (120-57-0)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butanedione (431-03-8)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Stoffe, die in der Drogen-Ausgangsstoff-Verordnung gelistet sind (EG 273/2004, Stoffe die bei der unerlaubten Herstellung von Suchtstoffen und psychotropen Substanzen verwendet werden)</w:t>
            </w:r>
          </w:p>
        </w:tc>
      </w:tr>
    </w:tbl>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0D104D90" w14:textId="15A02BD9">
            <w:pPr>
              <w:pStyle w:val="SDSTableTextHeading1"/>
              <w:rPr>
                <w:noProof w:val="0"/>
                <w:color w:val="auto"/>
              </w:rPr>
            </w:pPr>
            <w:r w:rsidRPr="0069446B" w:rsidR="00FA7F7F">
              <w:rPr>
                <w:noProof/>
                <w:color w:val="auto"/>
              </w:rPr>
              <w:t>Name</w:t>
            </w:r>
          </w:p>
        </w:tc>
        <w:tc>
          <w:tcPr>
            <w:tcW w:w="127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57C5252" w14:textId="5225E603">
            <w:pPr>
              <w:pStyle w:val="SDSTableTextHeading1"/>
              <w:rPr>
                <w:noProof w:val="0"/>
                <w:color w:val="auto"/>
              </w:rPr>
            </w:pPr>
            <w:r w:rsidRPr="0069446B" w:rsidR="00FA7F7F">
              <w:rPr>
                <w:noProof/>
                <w:color w:val="auto"/>
              </w:rPr>
              <w:t>CN-Bezeichnung</w:t>
            </w:r>
          </w:p>
        </w:tc>
        <w:tc>
          <w:tcPr>
            <w:tcW w:w="127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D6EF8CB" w14:textId="6606C847">
            <w:pPr>
              <w:pStyle w:val="SDSTableTextHeading1"/>
              <w:rPr>
                <w:noProof w:val="0"/>
                <w:color w:val="auto"/>
              </w:rPr>
            </w:pPr>
            <w:r w:rsidRPr="0069446B" w:rsidR="00FA7F7F">
              <w:rPr>
                <w:noProof/>
                <w:color w:val="auto"/>
              </w:rPr>
              <w:t>CAS-Nr.</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54B57E4" w14:textId="78E35A93">
            <w:pPr>
              <w:pStyle w:val="SDSTableTextHeading1"/>
              <w:rPr>
                <w:noProof w:val="0"/>
                <w:color w:val="auto"/>
              </w:rPr>
            </w:pPr>
            <w:r w:rsidRPr="0069446B" w:rsidR="00FA7F7F">
              <w:rPr>
                <w:noProof/>
                <w:color w:val="auto"/>
              </w:rPr>
              <w:t>CN-Code</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96366" w:rsidRPr="0069446B" w:rsidP="00E96366" w14:paraId="53D256F7" w14:textId="6CCA77A9">
            <w:pPr>
              <w:pStyle w:val="SDSTableTextHeading1"/>
              <w:rPr>
                <w:noProof w:val="0"/>
                <w:color w:val="auto"/>
              </w:rPr>
            </w:pPr>
            <w:r w:rsidRPr="0069446B" w:rsidR="00FA7F7F">
              <w:rPr>
                <w:noProof/>
                <w:color w:val="auto"/>
              </w:rPr>
              <w:t>Kategorie,</w:t>
            </w:r>
          </w:p>
          <w:p w:rsidR="00A65092" w:rsidRPr="0069446B" w:rsidP="00E96366" w14:paraId="26779EFF" w14:textId="63E11907">
            <w:pPr>
              <w:pStyle w:val="SDSTableTextHeading1"/>
              <w:rPr>
                <w:noProof w:val="0"/>
                <w:color w:val="auto"/>
              </w:rPr>
            </w:pPr>
            <w:r w:rsidRPr="0069446B" w:rsidR="00FA7F7F">
              <w:rPr>
                <w:noProof/>
                <w:color w:val="auto"/>
              </w:rPr>
              <w:t>Unterkategorie</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61B55F5" w14:textId="24B2F796">
            <w:pPr>
              <w:pStyle w:val="SDSTableTextHeading1"/>
              <w:rPr>
                <w:noProof w:val="0"/>
                <w:color w:val="auto"/>
              </w:rPr>
            </w:pPr>
            <w:r w:rsidRPr="0069446B" w:rsidR="00FA7F7F">
              <w:rPr>
                <w:noProof/>
                <w:color w:val="auto"/>
              </w:rPr>
              <w:t>Schwelle</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1BD701E" w14:textId="65E28E50">
            <w:pPr>
              <w:pStyle w:val="SDSTableTextHeading1"/>
              <w:rPr>
                <w:noProof w:val="0"/>
                <w:color w:val="auto"/>
              </w:rPr>
            </w:pPr>
            <w:r w:rsidRPr="0069446B" w:rsidR="00FA7F7F">
              <w:rPr>
                <w:noProof/>
                <w:color w:val="auto"/>
              </w:rPr>
              <w:t>Anhang</w:t>
            </w:r>
          </w:p>
        </w:tc>
      </w:tr>
      <w:tr w14:paraId="23D538E0" w14:textId="77777777" w:rsidTr="005C557D">
        <w:tblPrEx>
          <w:tblW w:w="10490" w:type="dxa"/>
          <w:tblLayout w:type="fixed"/>
          <w:tblLook w:val="04A0"/>
        </w:tblPrEx>
        <w:tc>
          <w:tcPr>
            <w:tcW w:w="226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073E40F" w14:textId="559D260D">
            <w:pPr>
              <w:pStyle w:val="SDSTableTextNormal"/>
              <w:rPr>
                <w:noProof w:val="0"/>
              </w:rPr>
            </w:pPr>
            <w:r w:rsidRPr="0069446B" w:rsidR="00FA7F7F">
              <w:rPr>
                <w:noProof/>
              </w:rPr>
              <w:t>Piperonal</w:t>
            </w:r>
          </w:p>
        </w:tc>
        <w:tc>
          <w:tcPr>
            <w:tcW w:w="127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900E007" w14:textId="26A7BDBB">
            <w:pPr>
              <w:pStyle w:val="SDSTableTextNormal"/>
              <w:rPr>
                <w:noProof w:val="0"/>
              </w:rPr>
            </w:pPr>
          </w:p>
        </w:tc>
        <w:tc>
          <w:tcPr>
            <w:tcW w:w="127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19F3871" w14:textId="44E22305">
            <w:pPr>
              <w:pStyle w:val="SDSTableTextNormal"/>
              <w:rPr>
                <w:noProof w:val="0"/>
              </w:rPr>
            </w:pPr>
            <w:r w:rsidRPr="0069446B" w:rsidR="00FA7F7F">
              <w:rPr>
                <w:noProof/>
              </w:rPr>
              <w:t>120-57-0</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04454755" w14:textId="57B7AB29">
            <w:pPr>
              <w:pStyle w:val="SDSTableTextNormal"/>
              <w:rPr>
                <w:noProof w:val="0"/>
              </w:rPr>
            </w:pPr>
            <w:r w:rsidRPr="0069446B" w:rsidR="00FA7F7F">
              <w:rPr>
                <w:noProof/>
              </w:rPr>
              <w:t>2932 93 00</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0CE3A27" w14:textId="126BB867">
            <w:pPr>
              <w:pStyle w:val="SDSTableTextNormal"/>
              <w:rPr>
                <w:noProof w:val="0"/>
              </w:rPr>
            </w:pPr>
            <w:r w:rsidRPr="0069446B" w:rsidR="00FA7F7F">
              <w:rPr>
                <w:noProof/>
              </w:rPr>
              <w:t>Kategorie 1</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99E5CD" w14:textId="1DED112B">
            <w:pPr>
              <w:pStyle w:val="SDSTableTextNormal"/>
              <w:rPr>
                <w:noProof w:val="0"/>
              </w:rPr>
            </w:pP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511B839" w14:textId="55BB0BAA">
            <w:pPr>
              <w:pStyle w:val="SDSTableTextNormal"/>
              <w:rPr>
                <w:noProof w:val="0"/>
              </w:rPr>
            </w:pPr>
            <w:r w:rsidRPr="0069446B" w:rsidR="00FA7F7F">
              <w:rPr>
                <w:noProof/>
              </w:rPr>
              <w:t>Anhang I</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(inhalativ), Kategorie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(dermal),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RE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(wiederholte Exposition), Kategorie 2</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leicht entzündbar.</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Einatmen.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H361fd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Kann vermutlich das Kind im Mutterleib schädigen.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H373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Organe schädigen bei längerer oder wiederholter Exposition.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Cupcake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Cupcake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07.05.2026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A9E3EF6-1DCC-4D09-B12E-0E72129AC8DD}"/>
</file>

<file path=customXml/itemProps3.xml><?xml version="1.0" encoding="utf-8"?>
<ds:datastoreItem xmlns:ds="http://schemas.openxmlformats.org/officeDocument/2006/customXml" ds:itemID="{03107436-1079-482D-8ED8-FCE156EB1811}"/>
</file>

<file path=customXml/itemProps4.xml><?xml version="1.0" encoding="utf-8"?>
<ds:datastoreItem xmlns:ds="http://schemas.openxmlformats.org/officeDocument/2006/customXml" ds:itemID="{10A89A5B-DAD6-44E6-A960-588F9C8BD1C5}"/>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