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Coupe de champagne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geraniol; d-limonene; linalool; linalyl acetate; [3R-(3α,3aβ,6α,7β,8aα)]-octahydro-3,6,8,8-tetramethyl-1H-3a,7-methanoazulen-5-yl acetate; benzyl salicylate; isoeugenol;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1A, H317</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Blumig. Grün. Orange.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Körpergewicht Animal: rat, Guideline: OECD Guideline 408 (Repeated Dose 90-Day Oral Toxicity Study in Rodents)</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Coupe de champagne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Coupe de champagne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citral ; geraniol ; d-limonene ; linalool ; linalyl acetate ; pin-2(3)-ene ; [3R-(3α,3aβ,6α,7β,8aα)]-octahydro-3,6,8,8-tetramethyl-1H-3a,7-methanoazulen-5-yl acetate ; benzyl salicylate ; isoeugenol ; (E)-1-(2,6,6-trimethyl-1,3-cyclohexadien-1-yl)-2-buten-1-one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 ; pin-2(3)-ene ; [3R-(3α,3aβ,6α,7β,8aα)]-octahydro-3,6,8,8-tetramethyl-1H-3a,7-methanoazulen-5-yl acetate ; benzyl salicylate ; (E)-1-(2,6,6-trimethyl-1,3-cyclohexadien-1-yl)-2-buten-1-one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Coupe de champagne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Coupe de champagne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78EE5B2-F8BC-48C6-B6F9-4B5CD40ACEC9}"/>
</file>

<file path=customXml/itemProps3.xml><?xml version="1.0" encoding="utf-8"?>
<ds:datastoreItem xmlns:ds="http://schemas.openxmlformats.org/officeDocument/2006/customXml" ds:itemID="{DEF25AC7-C142-407A-A665-DF83F5824734}"/>
</file>

<file path=customXml/itemProps4.xml><?xml version="1.0" encoding="utf-8"?>
<ds:datastoreItem xmlns:ds="http://schemas.openxmlformats.org/officeDocument/2006/customXml" ds:itemID="{2B37B37E-9398-4718-A883-460DFA9B50CE}"/>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