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Cerise noire et santal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1-(1,2,3,4,5,6,7,8-octahydro-2,3,8,8-tetramethyl-2-naphthyl)ethan-1-one, coumarin, ethyl 2,3-epoxy-3-phenylbutyrate, cinnamaldehyde.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holzartig.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Körpergewicht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Cerise noire et santal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Cerise noire et santal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1-(1,2,3,4,5,6,7,8-octahydro-2,3,8,8-tetramethyl-2-naphthyl)ethan-1-one, coumarin, ethyl 2,3-epoxy-3-phenylbutyrate, cinnamaldehyde.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Cerise noire et santal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Cerise noire et santal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92C474E-41DF-4A0E-AC93-E5CAEDE8A3A6}"/>
</file>

<file path=customXml/itemProps3.xml><?xml version="1.0" encoding="utf-8"?>
<ds:datastoreItem xmlns:ds="http://schemas.openxmlformats.org/officeDocument/2006/customXml" ds:itemID="{93980B1B-4708-484A-9CD6-93E2FC022C5B}"/>
</file>

<file path=customXml/itemProps4.xml><?xml version="1.0" encoding="utf-8"?>
<ds:datastoreItem xmlns:ds="http://schemas.openxmlformats.org/officeDocument/2006/customXml" ds:itemID="{1D773660-65CE-49D1-9696-808BA6EFB24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