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Calanque de cassis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3,7-dimethylnona-1,6-dien-3-ol, citral, linalool, LIMONENE, acetyl cedrene.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2,6768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Farn. Hesperidaceae. Bernstein.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Calanque de cassis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Calanque de cassis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3,7-dimethylnona-1,6-dien-3-ol, citral, linalool, LIMONENE, acetyl cedrene.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Calanque de cassis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Calanque de cassis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23.07.2026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A344960-CD5E-4DD2-AA67-840842985E5A}"/>
</file>

<file path=customXml/itemProps3.xml><?xml version="1.0" encoding="utf-8"?>
<ds:datastoreItem xmlns:ds="http://schemas.openxmlformats.org/officeDocument/2006/customXml" ds:itemID="{B271B13F-EF58-46FA-BE07-98E7B4F834CD}"/>
</file>

<file path=customXml/itemProps4.xml><?xml version="1.0" encoding="utf-8"?>
<ds:datastoreItem xmlns:ds="http://schemas.openxmlformats.org/officeDocument/2006/customXml" ds:itemID="{746B7481-D677-493B-837D-AC591BD42D5E}"/>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