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Cachemire et soie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[3R-(3α,3aβ,6α,7β,8aα)]-octahydro-3,6,8,8-tetramethyl-1H-3a,7-methanoazulen-5-yl acetate; piperonal; 3,7-dimethylnona-1,6-dien-3-ol; alpha-iso-methylionone; isoeugenol; 2-isopropoxyethyl salicylate;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79915-74-5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Orientalisch. balsamartig. Holzig.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Körpergewicht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Körpergewicht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Körpergewicht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Körpergewicht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Körpergewicht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Cachemire et soie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Cachemire et soie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[3R-(3α,3aβ,6α,7β,8aα)]-octahydro-3,6,8,8-tetramethyl-1H-3a,7-methanoazulen-5-yl acetate ; d-limonene ; 3,7-dimethylnona-1,6-dien-3-ol ; alpha-iso-methylionone ; isoeugenol ; 2-isopropoxyethyl salicylate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[3R-(3α,3aβ,6α,7β,8aα)]-octahydro-3,6,8,8-tetramethyl-1H-3a,7-methanoazulen-5-yl acetate ; d-limonene ; alpha-iso-methylionone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Stoffe, die in der Drogen-Ausgangsstoff-Verordnung gelistet sind (EG 273/2004, Stoffe die bei der unerlaubten Herstellung von Suchtstoffen und psychotropen Substanzen verwendet werden)</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CN-Bezeichnung</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CAS-Nr.</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Kategorie,</w:t>
            </w:r>
          </w:p>
          <w:p w:rsidR="00A65092" w:rsidRPr="0069446B" w:rsidP="00E96366" w14:paraId="26779EFF" w14:textId="63E11907">
            <w:pPr>
              <w:pStyle w:val="SDSTableTextHeading1"/>
              <w:rPr>
                <w:noProof w:val="0"/>
                <w:color w:val="auto"/>
              </w:rPr>
            </w:pPr>
            <w:r w:rsidRPr="0069446B" w:rsidR="00FA7F7F">
              <w:rPr>
                <w:noProof/>
                <w:color w:val="auto"/>
              </w:rPr>
              <w:t>Unterkategorie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Schwelle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Anhang</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Kategorie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Anhang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Cachemire et soie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Cachemire et soie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05.10.2026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204890B-3072-4FFA-AF18-E5487A7B422B}"/>
</file>

<file path=customXml/itemProps3.xml><?xml version="1.0" encoding="utf-8"?>
<ds:datastoreItem xmlns:ds="http://schemas.openxmlformats.org/officeDocument/2006/customXml" ds:itemID="{D59319C4-6798-4439-8CD8-181CD12B52BB}"/>
</file>

<file path=customXml/itemProps4.xml><?xml version="1.0" encoding="utf-8"?>
<ds:datastoreItem xmlns:ds="http://schemas.openxmlformats.org/officeDocument/2006/customXml" ds:itemID="{F32C0850-787E-43B1-B38C-A54731DBF76C}"/>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