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Bois fumé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Methylcedrylether;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Methylcedrylether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Rauch.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acetyl cedrene (32388-55-9)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acetyl cedrene (32388-55-9)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80 mg/kg Körpergewicht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Bois fumé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acetyl cedrene (32388-55-9)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0,86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Bois fumé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Methylcedrylether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3, Stark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Bois fumé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Bois fumé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06.10.2026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CC78BD5-84AA-4100-957A-41D031B7219A}"/>
</file>

<file path=customXml/itemProps3.xml><?xml version="1.0" encoding="utf-8"?>
<ds:datastoreItem xmlns:ds="http://schemas.openxmlformats.org/officeDocument/2006/customXml" ds:itemID="{A641DD29-F154-42F6-A2BB-8BDF5ABFF5FF}"/>
</file>

<file path=customXml/itemProps4.xml><?xml version="1.0" encoding="utf-8"?>
<ds:datastoreItem xmlns:ds="http://schemas.openxmlformats.org/officeDocument/2006/customXml" ds:itemID="{050345BB-C5C9-4037-9DC0-AACD29C65650}"/>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