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Bois de teck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Bernstein. Moschus.</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Bois de teck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F"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Alcool benzylique (100-51-6)</w:t>
            </w:r>
          </w:p>
        </w:tc>
      </w:tr>
      <w:tr w14:paraId="1484F7D2"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Bois de teck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d-limonene ; alpha-pinene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Bois de teck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Bois de teck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02000B6-7917-41D1-B9D7-7DDE5E8EB939}"/>
</file>

<file path=customXml/itemProps3.xml><?xml version="1.0" encoding="utf-8"?>
<ds:datastoreItem xmlns:ds="http://schemas.openxmlformats.org/officeDocument/2006/customXml" ds:itemID="{D2BE06EB-AFED-4C71-B273-234B853CBD85}"/>
</file>

<file path=customXml/itemProps4.xml><?xml version="1.0" encoding="utf-8"?>
<ds:datastoreItem xmlns:ds="http://schemas.openxmlformats.org/officeDocument/2006/customXml" ds:itemID="{CDE4F728-7314-423A-B6BE-3216359189F2}"/>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