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Bodenreiniger - Cocktail fruité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Bodenreinigungsmittel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Darf nicht in die Hände von Kindern gelangen.</w:t>
              <w:br/>
              <w:t>P101 - Ist ärztlicher Rat erforderlich, Verpackung oder Kennzeichnungsetikett bereithalten.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alcohol, TETRAMETHYL ACETYLOCTAHYDRONAPHTHALENES,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Bodenreiniger - Cocktail fruité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alcohol, TETRAMETHYL ACETYLOCTAHYDRONAPHTHALENES, 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Bodenreiniger - Cocktail fruité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Bodenreiniger - Cocktail fruité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0E36F27-1B08-433B-A064-A7B8EDA17324}"/>
</file>

<file path=customXml/itemProps3.xml><?xml version="1.0" encoding="utf-8"?>
<ds:datastoreItem xmlns:ds="http://schemas.openxmlformats.org/officeDocument/2006/customXml" ds:itemID="{AF2218DC-4028-476B-8365-38070167D96A}"/>
</file>

<file path=customXml/itemProps4.xml><?xml version="1.0" encoding="utf-8"?>
<ds:datastoreItem xmlns:ds="http://schemas.openxmlformats.org/officeDocument/2006/customXml" ds:itemID="{DFFDC85F-609B-4828-84B4-23355C7F269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