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Balade en foret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Feststoffe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METHYLENEDIOXYPHENYL METHYLPROPANAL, CEDROL METHYL ETHER, BENZYL SALICYLATE, BETA-CARYOPHYLLENE, TETRAMETHYL ACETYLOCTAHYDRONAPHTHALENES.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Methylcedrylether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19870-74-7</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0,6419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caryophyllene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87-44-5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201-746-1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α-methyl-1,3-benzodioxole-5-propionaldehyde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1205-17-0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214-881-6</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605-042-00-9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Wässrig. Leder.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α-methyl-1,3-benzodioxole-5-propionaldehyde (1205-17-0)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caryophyllene (87-44-5)</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&gt; 5000 mg/kg Körpergewicht Animal: mouse, Animal sex: male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α-methyl-1,3-benzodioxole-5-propionaldehyde (1205-17-0)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Körpergewicht Animal: rat, Animal sex: male, Guideline: OECD Guideline 422 (Combined Repeated Dose Toxicity Study with the Reproduction / Developmental Toxicity Screening Test)</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 mg/kg Körpergewicht Animal: rat, Animal sex: female, Guideline: OECD Guideline 422 (Combined Repeated Dose Toxicity Study with the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Balade en foret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α-methyl-1,3-benzodioxole-5-propionaldehyde (1205-17-0)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5,3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28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caryophyllene (87-44-5)</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0,17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0,033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Balade en foret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α-methyl-1,3-benzodioxole-5-propionaldehyde (1205-17-0)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Methylcedrylether (19870-74-7)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caryophyllene (87-44-5)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 ; caryophyllene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α-methyl-1,3-benzodioxole-5-propionaldehyde ; d-limonene ; pin-2(3)-ene ; benzyl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Feststoffe nicht klassifiziert</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METHYLENEDIOXYPHENYL METHYLPROPANAL, CEDROL METHYL ETHER, BENZYL SALICYLATE, BETA-CARYOPHYLLENE, TETRAMETHYL ACETYLOCTAHYDRONAPHTHALENES.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Balade en foret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Balade en foret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09.10.2026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DF1F9EB-7069-461E-B761-DAB52BB61629}"/>
</file>

<file path=customXml/itemProps3.xml><?xml version="1.0" encoding="utf-8"?>
<ds:datastoreItem xmlns:ds="http://schemas.openxmlformats.org/officeDocument/2006/customXml" ds:itemID="{744311FF-C737-412D-AC63-6BA54C9F4EAD}"/>
</file>

<file path=customXml/itemProps4.xml><?xml version="1.0" encoding="utf-8"?>
<ds:datastoreItem xmlns:ds="http://schemas.openxmlformats.org/officeDocument/2006/customXml" ds:itemID="{FEFFCFEB-43C2-4706-B2CA-C37A8EE320BA}"/>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