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Amour dans le pré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cinnamyl alcohol; (ethoxymethoxy)cyclododecane; methyl palmitate;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2,609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Körpergewicht)</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Fruchtig. Holzig.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Körpergewicht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Körpergewicht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Körpergewicht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Amour dans le pré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Amour dans le pré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Amour dans le pré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Amour dans le pré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15.06.2026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143A876-87E7-4F0B-B5CB-1BA744B4C8AD}"/>
</file>

<file path=customXml/itemProps3.xml><?xml version="1.0" encoding="utf-8"?>
<ds:datastoreItem xmlns:ds="http://schemas.openxmlformats.org/officeDocument/2006/customXml" ds:itemID="{D0529E0D-1452-4112-BA71-3E16BEC73A33}"/>
</file>

<file path=customXml/itemProps4.xml><?xml version="1.0" encoding="utf-8"?>
<ds:datastoreItem xmlns:ds="http://schemas.openxmlformats.org/officeDocument/2006/customXml" ds:itemID="{B6AB1309-40FB-490D-9940-446C4FA8C679}"/>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