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306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α-hexylcinnamaldehyde, Benzylsalicylat, linalool, [3R-(3α,3aβ,6α,7β,8aα)]-octahydro-3,6,8,8-tetramethyl-1H-3a,7-methanoazulen-5-yl acetate, 1-(1,2,3,4,5,6,7,8-octahydro-2,3,8,8-tetramethyl-2-naphthyl)ethan-1-one.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Orientalisch. balsamartig. Holzig.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Körpergewicht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306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306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α-hexylcinnamaldehyde, Benzylsalicylat, linalool, [3R-(3α,3aβ,6α,7β,8aα)]-octahydro-3,6,8,8-tetramethyl-1H-3a,7-methanoazulen-5-yl acetate, 1-(1,2,3,4,5,6,7,8-octahydro-2,3,8,8-tetramethyl-2-naphthyl)ethan-1-one.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306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306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49466BB-7268-43B1-98EF-2089A14B3CC9}"/>
</file>

<file path=customXml/itemProps3.xml><?xml version="1.0" encoding="utf-8"?>
<ds:datastoreItem xmlns:ds="http://schemas.openxmlformats.org/officeDocument/2006/customXml" ds:itemID="{B2051547-D768-4B97-B7CA-16E57701C947}"/>
</file>

<file path=customXml/itemProps4.xml><?xml version="1.0" encoding="utf-8"?>
<ds:datastoreItem xmlns:ds="http://schemas.openxmlformats.org/officeDocument/2006/customXml" ds:itemID="{2DABDB99-B084-4D1B-AE64-0F512E9DCC23}"/>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