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301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Heptanal, 2-(phenylmethylene)-, (2E)-, linalyl acetate, HEXYL CINNAMAL, linalool.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Heptanal, 2-(phenylmethylene)-, (2E)-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78605-96-6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800-696-3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Nicht anwendbar</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301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301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Heptanal, 2-(phenylmethylene)-, (2E)- (78605-96-6)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linalyl acetate ; 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Heptanal, 2-(phenylmethylene)-, (2E)-, linalyl acetate, HEXYL CINNAMAL, linalool.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301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301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20B5D8A-505F-4F6F-908C-C711469E941D}"/>
</file>

<file path=customXml/itemProps3.xml><?xml version="1.0" encoding="utf-8"?>
<ds:datastoreItem xmlns:ds="http://schemas.openxmlformats.org/officeDocument/2006/customXml" ds:itemID="{8F036FEB-7EF4-469B-B6B7-C8D4DDF25759}"/>
</file>

<file path=customXml/itemProps4.xml><?xml version="1.0" encoding="utf-8"?>
<ds:datastoreItem xmlns:ds="http://schemas.openxmlformats.org/officeDocument/2006/customXml" ds:itemID="{E9A81909-7814-413D-9B66-A739F33A1293}"/>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